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9, 2026</w:t>
      </w:r>
    </w:p>
    <w:p>
      <w:pPr>
        <w:spacing w:after="20"/>
      </w:pPr>
      <w:r>
        <w:rPr>
          <w:rFonts w:ascii="Calibri" w:hAnsi="Calibri"/>
          <w:b/>
          <w:color w:val="1A1A1A"/>
        </w:rPr>
        <w:t>CloudFactory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AI Marketing Operations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part of this role I'd start on first is generative engine optimization. I built a 9-dimension framework for how AI search and LLMs read a business (entity clarity, topical coverage, internal linking, schema, information gain, and AI visibility), and I've published 10 articles on it, including why ChatGPT won't recommend a business and how Google AI Overviews choose sources. Building that into a website rebuild from the start is exactly where it pays off most.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rest of the stack is work I already do by hand. I build lead scoring, lifecycle stages, and nurture automation in HubSpot and GoHighLevel. I set up SPF, DKIM, DMARC, and warm-up for outbound myself and keep deliverability above 99%, with hands-on time in Salesloft, Apollo, and HeyReach. I deploy tracking through custom Google Tag Manager triggers and variables, work in HTML and CSS, and call the OpenAI and Claude APIs inside production workflows. At Level Agency I ran account-based LinkedIn campaigns on accounts spending $20K+ a month.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