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B2B Demand Generation &amp; Account-Based Marketing — Research, Outreach, and Pipeline</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B2B marketer who builds the research-to-outreach engine and then carries the number. Built an automated prospect audit workflow that scores a business's digital footprint and triggers personalized outreach, enrolling 180+ contacts, and closed six new-client deals averaging ~$22K each (~$130K+ in total bookings) at a performance marketing agency. 15+ years across B2B SaaS, MarTech, and agency environments spanning account research and competitive analysis, HubSpot and CRM automation, personalized outreach and commercial copy, and working directly alongside sales on qualified meetings and pipeline.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cold-email outreach engines and an automated prospect audit workflow that enrolled 180+ contacts, scoring a business's digital footprint to trigger personalized outreach.</w:t>
      </w:r>
    </w:p>
    <w:p>
      <w:pPr>
        <w:spacing w:after="30"/>
        <w:ind w:left="259" w:hanging="259"/>
      </w:pPr>
      <w:r>
        <w:rPr>
          <w:rFonts w:ascii="Calibri" w:hAnsi="Calibri"/>
          <w:b w:val="0"/>
          <w:i w:val="0"/>
          <w:color w:val="163A5F"/>
        </w:rPr>
        <w:t xml:space="preserve">•  </w:t>
      </w:r>
      <w:r>
        <w:rPr>
          <w:rFonts w:ascii="Calibri" w:hAnsi="Calibri"/>
          <w:b w:val="0"/>
          <w:i w:val="0"/>
          <w:color w:val="1A1A1A"/>
        </w:rPr>
        <w:t>Align marketing programs to revenue objectives directly with business owners and sales teams, producing consistent messaging and qualified lead flow.</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marketing-automation system of 20+ workflows spanning lead capture, tagging and routing, lead qualification, appointment booking with confirmation and reminders, no-show recovery, and long-term nurture and reactivation.</w:t>
      </w:r>
    </w:p>
    <w:p>
      <w:pPr>
        <w:spacing w:after="30"/>
        <w:ind w:left="259" w:hanging="259"/>
      </w:pPr>
      <w:r>
        <w:rPr>
          <w:rFonts w:ascii="Calibri" w:hAnsi="Calibri"/>
          <w:b w:val="0"/>
          <w:i w:val="0"/>
          <w:color w:val="163A5F"/>
        </w:rPr>
        <w:t xml:space="preserve">•  </w:t>
      </w:r>
      <w:r>
        <w:rPr>
          <w:rFonts w:ascii="Calibri" w:hAnsi="Calibri"/>
          <w:b w:val="0"/>
          <w:i w:val="0"/>
          <w:color w:val="1A1A1A"/>
        </w:rPr>
        <w:t>Conduct competitor research, keyword gap analyses, and technical audits of client and prospect digital presence,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marketing workflows into agent architectures with custom logic that scores a business's digital footprint and generates hyper-personalized outreach.</w:t>
      </w:r>
    </w:p>
    <w:p>
      <w:pPr>
        <w:spacing w:after="30"/>
        <w:ind w:left="259" w:hanging="259"/>
      </w:pPr>
      <w:r>
        <w:rPr>
          <w:rFonts w:ascii="Calibri" w:hAnsi="Calibri"/>
          <w:b w:val="0"/>
          <w:i w:val="0"/>
          <w:color w:val="163A5F"/>
        </w:rPr>
        <w:t xml:space="preserve">•  </w:t>
      </w:r>
      <w:r>
        <w:rPr>
          <w:rFonts w:ascii="Calibri" w:hAnsi="Calibri"/>
          <w:b w:val="0"/>
          <w:i w:val="0"/>
          <w:color w:val="1A1A1A"/>
        </w:rPr>
        <w:t>Architect and implement CRM systems in GoHighLevel and HubSpot, covering contact segmentation, lifecycle stages, lead routing, and strict data-hygiene protocols.</w:t>
      </w:r>
    </w:p>
    <w:p>
      <w:pPr>
        <w:spacing w:after="30"/>
        <w:ind w:left="259" w:hanging="259"/>
      </w:pPr>
      <w:r>
        <w:rPr>
          <w:rFonts w:ascii="Calibri" w:hAnsi="Calibri"/>
          <w:b w:val="0"/>
          <w:i w:val="0"/>
          <w:color w:val="163A5F"/>
        </w:rPr>
        <w:t xml:space="preserve">•  </w:t>
      </w:r>
      <w:r>
        <w:rPr>
          <w:rFonts w:ascii="Calibri" w:hAnsi="Calibri"/>
          <w:b w:val="0"/>
          <w:i w:val="0"/>
          <w:color w:val="1A1A1A"/>
        </w:rPr>
        <w:t>Run discovery and onboarding for a portfolio of service-based businesses, surfacing client goals, objectives, and market challenges as the basis for the commercial recommendation.</w:t>
      </w:r>
    </w:p>
    <w:p>
      <w:pPr>
        <w:spacing w:after="30"/>
        <w:ind w:left="259" w:hanging="259"/>
      </w:pPr>
      <w:r>
        <w:rPr>
          <w:rFonts w:ascii="Calibri" w:hAnsi="Calibri"/>
          <w:b w:val="0"/>
          <w:i w:val="0"/>
          <w:color w:val="163A5F"/>
        </w:rPr>
        <w:t xml:space="preserve">•  </w:t>
      </w:r>
      <w:r>
        <w:rPr>
          <w:rFonts w:ascii="Calibri" w:hAnsi="Calibri"/>
          <w:b w:val="0"/>
          <w:i w:val="0"/>
          <w:color w:val="1A1A1A"/>
        </w:rPr>
        <w:t>Draft clean, specific direct-response copy, outreach sequences, and landing pages that drive engagement and pipeline.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digital marketing strategy across inbound, paid media, and content, coordinating execution across internal creative, media, and analytics teams.</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including landing pages, complex email sequences, and conversion-focused copy, improving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quarterly business reviews.</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with deal sizes of roughly $10K–$45K on a reputation and reviews platform,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engagement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route structured, high-priority customer feedback into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six new-client deals averaging ~$22K each, several exceeding $25K, for roughly $130K+ in total bookings.</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 across paid media and creative.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a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brand-new Wix vertical that went from proof of concept to a profitable business line, contributing to hiring, onboarding, and training of new hires.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effectively the full tenure, holding that ranking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sales enablement,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advising C-Suite executives as a trusted advisor on operational system design.</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Account-Based Marketing:  </w:t>
      </w:r>
      <w:r>
        <w:rPr>
          <w:rFonts w:ascii="Calibri" w:hAnsi="Calibri"/>
          <w:b w:val="0"/>
          <w:i w:val="0"/>
          <w:color w:val="1A1A1A"/>
        </w:rPr>
        <w:t>Target account selection &amp; prioritization, Account segmentation &amp; tiering, Account scoring logic, Multi-stakeholder / buying committee mapping, 1:1, 1:few and 1:many campaigns, Personalized outreach at scale, Competitive positioning, Account briefs</w:t>
      </w:r>
    </w:p>
    <w:p>
      <w:pPr>
        <w:spacing w:after="30"/>
      </w:pPr>
      <w:r>
        <w:rPr>
          <w:rFonts w:ascii="Calibri" w:hAnsi="Calibri"/>
          <w:b/>
          <w:i w:val="0"/>
          <w:color w:val="1A1A1A"/>
        </w:rPr>
        <w:t xml:space="preserve">Demand Generation:  </w:t>
      </w:r>
      <w:r>
        <w:rPr>
          <w:rFonts w:ascii="Calibri" w:hAnsi="Calibri"/>
          <w:b w:val="0"/>
          <w:i w:val="0"/>
          <w:color w:val="1A1A1A"/>
        </w:rPr>
        <w:t>Full-funnel acquisition, Cold email outreach engines, Lead qualification, Lead scoring &amp; routing, Appointment setting, Lifecycle &amp; nurture campaigns, Re-engagement &amp; reactivation, Paid media, SEO / SEM</w:t>
      </w:r>
    </w:p>
    <w:p>
      <w:pPr>
        <w:spacing w:after="30"/>
      </w:pPr>
      <w:r>
        <w:rPr>
          <w:rFonts w:ascii="Calibri" w:hAnsi="Calibri"/>
          <w:b/>
          <w:i w:val="0"/>
          <w:color w:val="1A1A1A"/>
        </w:rPr>
        <w:t xml:space="preserve">Research &amp; Commercial Intelligence:  </w:t>
      </w:r>
      <w:r>
        <w:rPr>
          <w:rFonts w:ascii="Calibri" w:hAnsi="Calibri"/>
          <w:b w:val="0"/>
          <w:i w:val="0"/>
          <w:color w:val="1A1A1A"/>
        </w:rPr>
        <w:t>Competitor research, Keyword gap analysis, Paid search &amp; ad presence analysis, Digital footprint audits, Market positioning, Discovery &amp; needs analysis, Market feedback loops</w:t>
      </w:r>
    </w:p>
    <w:p>
      <w:pPr>
        <w:spacing w:after="30"/>
      </w:pPr>
      <w:r>
        <w:rPr>
          <w:rFonts w:ascii="Calibri" w:hAnsi="Calibri"/>
          <w:b/>
          <w:i w:val="0"/>
          <w:color w:val="1A1A1A"/>
        </w:rPr>
        <w:t xml:space="preserve">CRM &amp; Marketing Automation:  </w:t>
      </w:r>
      <w:r>
        <w:rPr>
          <w:rFonts w:ascii="Calibri" w:hAnsi="Calibri"/>
          <w:b w:val="0"/>
          <w:i w:val="0"/>
          <w:color w:val="1A1A1A"/>
        </w:rPr>
        <w:t>HubSpot, GoHighLevel, Salesforce, Workflow design, Segmentation, Lifecycle stages, Data hygiene, Campaign operations</w:t>
      </w:r>
    </w:p>
    <w:p>
      <w:pPr>
        <w:spacing w:after="30"/>
      </w:pPr>
      <w:r>
        <w:rPr>
          <w:rFonts w:ascii="Calibri" w:hAnsi="Calibri"/>
          <w:b/>
          <w:i w:val="0"/>
          <w:color w:val="1A1A1A"/>
        </w:rPr>
        <w:t xml:space="preserve">Sales Partnership &amp; Pipeline:  </w:t>
      </w:r>
      <w:r>
        <w:rPr>
          <w:rFonts w:ascii="Calibri" w:hAnsi="Calibri"/>
          <w:b w:val="0"/>
          <w:i w:val="0"/>
          <w:color w:val="1A1A1A"/>
        </w:rPr>
        <w:t>Full-cycle sales, Qualified meetings, Pipeline management, Sales &amp; marketing orchestration, C-Suite / executive engagement, Objection handling, Account expansion, QBRs</w:t>
      </w:r>
    </w:p>
    <w:p>
      <w:pPr>
        <w:spacing w:after="30"/>
      </w:pPr>
      <w:r>
        <w:rPr>
          <w:rFonts w:ascii="Calibri" w:hAnsi="Calibri"/>
          <w:b/>
          <w:i w:val="0"/>
          <w:color w:val="1A1A1A"/>
        </w:rPr>
        <w:t xml:space="preserve">Analytics, Writing &amp; AI:  </w:t>
      </w:r>
      <w:r>
        <w:rPr>
          <w:rFonts w:ascii="Calibri" w:hAnsi="Calibri"/>
          <w:b w:val="0"/>
          <w:i w:val="0"/>
          <w:color w:val="1A1A1A"/>
        </w:rPr>
        <w:t>GA4, KPI dashboards, ROI reporting, Funnel &amp; engagement analysis, Personalized outreach copy, Commercial narratives, Landing pages, Agentic AI workflows, Automated account research</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