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2, 2026</w:t>
      </w:r>
    </w:p>
    <w:p>
      <w:pPr>
        <w:spacing w:after="20"/>
      </w:pPr>
      <w:r>
        <w:rPr>
          <w:rFonts w:ascii="Calibri" w:hAnsi="Calibri"/>
          <w:b/>
          <w:color w:val="1A1A1A"/>
        </w:rPr>
        <w:t>SmartHRCheqs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Strategic Partnership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 partner program only produces revenue when partners know the product well enough to sell it, and someone keeps the pipeline honest in the CRM. That is the work I did at Birdeye, and it is what your Strategic Partnership Manager role measures.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Birdeye I onboarded and managed 15 to 20 reseller partners with deals from roughly $10K to $45K, and retained all but one. I built the onboarding, training, and automated enablement sequences that got them selling, analyzed utilization to catch partners going quiet, and fed their feedback to Product and Engineering. Before that I spent over two years at Accelo selling CRM and integration-heavy software to professional-services firms, ranking top three on the team while quota roughly doubled, so I can talk integrations and APIs with a technology partner's product lead as easily as with their sales team. I run all of it in HubSpot, which I also build and administer for my own clients.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would welcome a conversation about which partner categories (ATS, HCM, payroll) you want to grow first, and how I would build the plan for the first two quarters.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