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Analytics Implementation &amp; Marketing Technology Specialist | Google Tag Manager, GA4, Conversion Tracking, Multi-Client Agency Operations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technology operator who builds, debugs, and maintains the tracking behind client marketing programs. At Solenzo I deploy Google Tag Manager on every client site (custom triggers and variables, GA4 events, Meta Pixel, Google Ads conversions), debug in Preview mode and browser DevTools, enforce UTM conventions, configure cookie consent, and validate that conversion data reaches the CRM through webhooks and APIs. Agency background managing several client accounts at once, working SQL (BigQuery/GA4), and 18 published articles explaining tracking and attribution to non-technical readers.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Marketing Technology &amp; Analytics Implementation —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Install and configure Google Tag Manager on every client website, building custom triggers and variables for GA4 conversion events, Meta Pixel, and Google Ads conversion tags.</w:t>
      </w:r>
    </w:p>
    <w:p>
      <w:pPr>
        <w:spacing w:after="30"/>
        <w:ind w:left="259" w:hanging="259"/>
      </w:pPr>
      <w:r>
        <w:rPr>
          <w:rFonts w:ascii="Calibri" w:hAnsi="Calibri"/>
          <w:b w:val="0"/>
          <w:i w:val="0"/>
          <w:color w:val="163A5F"/>
        </w:rPr>
        <w:t xml:space="preserve">•  </w:t>
      </w:r>
      <w:r>
        <w:rPr>
          <w:rFonts w:ascii="Calibri" w:hAnsi="Calibri"/>
          <w:b w:val="0"/>
          <w:i w:val="0"/>
          <w:color w:val="1A1A1A"/>
        </w:rPr>
        <w:t>Debug tags and GA4 conversion events with GTM Preview mode and browser developer tools (network tab, dataLayer inspection), tracing failures from the page to the reporting.</w:t>
      </w:r>
    </w:p>
    <w:p>
      <w:pPr>
        <w:spacing w:after="30"/>
        <w:ind w:left="259" w:hanging="259"/>
      </w:pPr>
      <w:r>
        <w:rPr>
          <w:rFonts w:ascii="Calibri" w:hAnsi="Calibri"/>
          <w:b w:val="0"/>
          <w:i w:val="0"/>
          <w:color w:val="163A5F"/>
        </w:rPr>
        <w:t xml:space="preserve">•  </w:t>
      </w:r>
      <w:r>
        <w:rPr>
          <w:rFonts w:ascii="Calibri" w:hAnsi="Calibri"/>
          <w:b w:val="0"/>
          <w:i w:val="0"/>
          <w:color w:val="1A1A1A"/>
        </w:rPr>
        <w:t>Define and enforce UTM naming conventions for client campaigns, and set up cookie-consent configuration on client sites.</w:t>
      </w:r>
    </w:p>
    <w:p>
      <w:pPr>
        <w:spacing w:after="30"/>
        <w:ind w:left="259" w:hanging="259"/>
      </w:pPr>
      <w:r>
        <w:rPr>
          <w:rFonts w:ascii="Calibri" w:hAnsi="Calibri"/>
          <w:b w:val="0"/>
          <w:i w:val="0"/>
          <w:color w:val="163A5F"/>
        </w:rPr>
        <w:t xml:space="preserve">•  </w:t>
      </w:r>
      <w:r>
        <w:rPr>
          <w:rFonts w:ascii="Calibri" w:hAnsi="Calibri"/>
          <w:b w:val="0"/>
          <w:i w:val="0"/>
          <w:color w:val="1A1A1A"/>
        </w:rPr>
        <w:t>Configure inbound and outbound webhooks and REST API calls across Zapier, Make, n8n, and GoHighLevel, reading and editing JSON payloads and debugging integration failures in production workflows.</w:t>
      </w:r>
    </w:p>
    <w:p>
      <w:pPr>
        <w:spacing w:after="30"/>
        <w:ind w:left="259" w:hanging="259"/>
      </w:pPr>
      <w:r>
        <w:rPr>
          <w:rFonts w:ascii="Calibri" w:hAnsi="Calibri"/>
          <w:b w:val="0"/>
          <w:i w:val="0"/>
          <w:color w:val="163A5F"/>
        </w:rPr>
        <w:t xml:space="preserve">•  </w:t>
      </w:r>
      <w:r>
        <w:rPr>
          <w:rFonts w:ascii="Calibri" w:hAnsi="Calibri"/>
          <w:b w:val="0"/>
          <w:i w:val="0"/>
          <w:color w:val="1A1A1A"/>
        </w:rPr>
        <w:t>Set up and validate data feeds from web forms and campaigns into Salesforce, HubSpot, and GoHighLevel, re-checking every import so lead source data arrives intact.</w:t>
      </w:r>
    </w:p>
    <w:p>
      <w:pPr>
        <w:spacing w:after="30"/>
        <w:ind w:left="259" w:hanging="259"/>
      </w:pPr>
      <w:r>
        <w:rPr>
          <w:rFonts w:ascii="Calibri" w:hAnsi="Calibri"/>
          <w:b w:val="0"/>
          <w:i w:val="0"/>
          <w:color w:val="163A5F"/>
        </w:rPr>
        <w:t xml:space="preserve">•  </w:t>
      </w:r>
      <w:r>
        <w:rPr>
          <w:rFonts w:ascii="Calibri" w:hAnsi="Calibri"/>
          <w:b w:val="0"/>
          <w:i w:val="0"/>
          <w:color w:val="1A1A1A"/>
        </w:rPr>
        <w:t>Track acquisition and conversion across multiple client accounts using GA4 and CRM analytics, writing SQL for BigQuery/GA4 pulls and Power BI data models.</w:t>
      </w:r>
    </w:p>
    <w:p>
      <w:pPr>
        <w:spacing w:after="30"/>
        <w:ind w:left="259" w:hanging="259"/>
      </w:pPr>
      <w:r>
        <w:rPr>
          <w:rFonts w:ascii="Calibri" w:hAnsi="Calibri"/>
          <w:b w:val="0"/>
          <w:i w:val="0"/>
          <w:color w:val="163A5F"/>
        </w:rPr>
        <w:t xml:space="preserve">•  </w:t>
      </w:r>
      <w:r>
        <w:rPr>
          <w:rFonts w:ascii="Calibri" w:hAnsi="Calibri"/>
          <w:b w:val="0"/>
          <w:i w:val="0"/>
          <w:color w:val="1A1A1A"/>
        </w:rPr>
        <w:t>Build monitoring and evaluation loops for automated systems, using LLM APIs and rubric-based scoring to catch failures and improve output over time.</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client configuration, timeline, and deliverable in Notion, GoHighLevel, and HubSpot, keeping records auditable across concurrent engagements.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for ~3 client accounts at $20K+/month in ad spend each, peaking above $100K/month.</w:t>
      </w:r>
    </w:p>
    <w:p>
      <w:pPr>
        <w:spacing w:after="30"/>
        <w:ind w:left="259" w:hanging="259"/>
      </w:pPr>
      <w:r>
        <w:rPr>
          <w:rFonts w:ascii="Calibri" w:hAnsi="Calibri"/>
          <w:b w:val="0"/>
          <w:i w:val="0"/>
          <w:color w:val="163A5F"/>
        </w:rPr>
        <w:t xml:space="preserve">•  </w:t>
      </w:r>
      <w:r>
        <w:rPr>
          <w:rFonts w:ascii="Calibri" w:hAnsi="Calibri"/>
          <w:b w:val="0"/>
          <w:i w:val="0"/>
          <w:color w:val="1A1A1A"/>
        </w:rPr>
        <w:t>Designed and ran LinkedIn ad campaigns with account-based targeting and A/B-tested setups.</w:t>
      </w:r>
    </w:p>
    <w:p>
      <w:pPr>
        <w:spacing w:after="30"/>
        <w:ind w:left="259" w:hanging="259"/>
      </w:pPr>
      <w:r>
        <w:rPr>
          <w:rFonts w:ascii="Calibri" w:hAnsi="Calibri"/>
          <w:b w:val="0"/>
          <w:i w:val="0"/>
          <w:color w:val="163A5F"/>
        </w:rPr>
        <w:t xml:space="preserve">•  </w:t>
      </w:r>
      <w:r>
        <w:rPr>
          <w:rFonts w:ascii="Calibri" w:hAnsi="Calibri"/>
          <w:b w:val="0"/>
          <w:i w:val="0"/>
          <w:color w:val="1A1A1A"/>
        </w:rPr>
        <w:t>Translated performance data into recommendations for multi-stakeholder client teams across marketing and technology channels.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technical setup and configuration of reputation and marketing automation tools, including Birdeye's listings-syndication solution for every partner's end customers.</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across health, home services, and retail,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at a performance marketing agency and translated results into optimization recommendations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reduced handoff errors, and strengthened cross-team alignment.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Guided clients through Google Tag Manager and Google Business Profile setup as part of site builds and launches.</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with up to ~25 concurrent onboardings, holding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Defined the Salesforce fields required for sales and onboarding workflows, standardizing data capture across teams of up to 30 specialists.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for a CRM/PSA platform, and built Zapier automations connecting client systems.</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scaled from 8 to 15 reps while quota roughly doubled.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Tag Management &amp; Analytics:  </w:t>
      </w:r>
      <w:r>
        <w:rPr>
          <w:rFonts w:ascii="Calibri" w:hAnsi="Calibri"/>
          <w:b w:val="0"/>
          <w:i w:val="0"/>
          <w:color w:val="1A1A1A"/>
        </w:rPr>
        <w:t>Google Tag Manager (tags, triggers, variables, Preview), GA4 Events &amp; Conversions, Google Search Console, Browser DevTools &amp; dataLayer Debugging, Meta Pixel &amp; Google Ads Conversion Tags, UTM Governance &amp; Campaign Attribution, Cookie Consent Setup</w:t>
      </w:r>
    </w:p>
    <w:p>
      <w:pPr>
        <w:spacing w:after="30"/>
      </w:pPr>
      <w:r>
        <w:rPr>
          <w:rFonts w:ascii="Calibri" w:hAnsi="Calibri"/>
          <w:b/>
          <w:i w:val="0"/>
          <w:color w:val="1A1A1A"/>
        </w:rPr>
        <w:t xml:space="preserve">Data &amp; Integrations:  </w:t>
      </w:r>
      <w:r>
        <w:rPr>
          <w:rFonts w:ascii="Calibri" w:hAnsi="Calibri"/>
          <w:b w:val="0"/>
          <w:i w:val="0"/>
          <w:color w:val="1A1A1A"/>
        </w:rPr>
        <w:t>SQL (BigQuery/GA4), Power BI, Excel, Webhooks, REST APIs, JSON, JavaScript &amp; Python (automation code steps), HTML/CSS, Zapier, Make, n8n</w:t>
      </w:r>
    </w:p>
    <w:p>
      <w:pPr>
        <w:spacing w:after="30"/>
      </w:pPr>
      <w:r>
        <w:rPr>
          <w:rFonts w:ascii="Calibri" w:hAnsi="Calibri"/>
          <w:b/>
          <w:i w:val="0"/>
          <w:color w:val="1A1A1A"/>
        </w:rPr>
        <w:t xml:space="preserve">Paid Media Platforms:  </w:t>
      </w:r>
      <w:r>
        <w:rPr>
          <w:rFonts w:ascii="Calibri" w:hAnsi="Calibri"/>
          <w:b w:val="0"/>
          <w:i w:val="0"/>
          <w:color w:val="1A1A1A"/>
        </w:rPr>
        <w:t>Meta Ads (certified), Google Ads, LinkedIn Ads</w:t>
      </w:r>
    </w:p>
    <w:p>
      <w:pPr>
        <w:spacing w:after="30"/>
      </w:pPr>
      <w:r>
        <w:rPr>
          <w:rFonts w:ascii="Calibri" w:hAnsi="Calibri"/>
          <w:b/>
          <w:i w:val="0"/>
          <w:color w:val="1A1A1A"/>
        </w:rPr>
        <w:t xml:space="preserve">Operations:  </w:t>
      </w:r>
      <w:r>
        <w:rPr>
          <w:rFonts w:ascii="Calibri" w:hAnsi="Calibri"/>
          <w:b w:val="0"/>
          <w:i w:val="0"/>
          <w:color w:val="1A1A1A"/>
        </w:rPr>
        <w:t>Multi-Client Agency Account Management, Technical Documentation (Notion), Salesforce, HubSpot, GoHighLevel, AI-Assisted Monitoring &amp; Automation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