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Digital Content &amp; Marketing Operations Specialist | Website Content, SEO &amp; Digital Asset Management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professional with 15+ years managing website content, technical SEO, and digital assets across SaaS, agency, and small-business environments. Runs site-wide SEO and schema audits, builds landing pages and content libraries, and coordinates with sales, product, and outside partners to keep web presence accurate and performing.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 for site-wide data pulls,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implement schema/structured data as part of technical SEO audits, pulling full on-page schema implementation.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on every website built at Solenzo, and guide clients through GTM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marketing assets and content templates for clients, adapting a shared template base to each client's brand and vertical rather than starting from scratch each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 and landing pages, and document every deliverable and timeline in GoHighLevel, HubSpot, and Notion for auditability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including landing pages and conversion-focused copy, to improve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keyword research and search-term analysis to shape content direction and targeting across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conversion KPIs, delivering optimization recommendations to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content, training, and onboarding for a network of 15-20 reseller partners (deal sizes ~$10K-$45K) spanning health, home services, and retail verticals,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training sequences that reduced onboarding friction and kept partner-facing material current, analyzing utilization data to identify content and engagement gaps.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content,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 websites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Website &amp; Content Management:  </w:t>
      </w:r>
      <w:r>
        <w:rPr>
          <w:rFonts w:ascii="Calibri" w:hAnsi="Calibri"/>
          <w:b w:val="0"/>
          <w:i w:val="0"/>
          <w:color w:val="1A1A1A"/>
        </w:rPr>
        <w:t>CMS Content Management, Technical SEO Audits, Schema/Structured Data, Google Tag Manager, Landing Page Development, Digital Asset &amp; Content Library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Analytics:  </w:t>
      </w:r>
      <w:r>
        <w:rPr>
          <w:rFonts w:ascii="Calibri" w:hAnsi="Calibri"/>
          <w:b w:val="0"/>
          <w:i w:val="0"/>
          <w:color w:val="1A1A1A"/>
        </w:rPr>
        <w:t>GA4, Google Search Console, Screaming Frog, Ahrefs, Semrush, Performance Reporting &amp; QA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Cross-Functional Coordination:  </w:t>
      </w:r>
      <w:r>
        <w:rPr>
          <w:rFonts w:ascii="Calibri" w:hAnsi="Calibri"/>
          <w:b w:val="0"/>
          <w:i w:val="0"/>
          <w:color w:val="1A1A1A"/>
        </w:rPr>
        <w:t>Content Governance &amp; Brand Standards, Content Audits &amp; Gap Analysis, Cross-Team Stakeholder Coordination, Multi-Account Workload Management, Third-Party Partner Coordination, HubSpot, Salesforce, GoHighLevel, Notion,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