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SEO Manager | Technical SEO, AEO/GEO Strategy &amp; Team Leadership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leader with 4+ years of direct SEO work inside a 15+ year B2B career, spanning national agency SEO (Level Agency), technical SEO audits and schema implementation for a multi-client book (Solenzo), and 2 years managing a team of onboarding specialists (Wix, 20 then 8 people). Builds and runs AI agent systems daily, including hands-on use of Claude Code, ChatGPT Codex, and Google AI Studio, and treats AI-search visibility as a natural extension of the technical SEO work already underway rather than a separate discipline. Root-causes performance claims instead of trusting a dashboard number, and briefs client-facing owners on the strategy and evidence behind every recommendation.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SEO Strategy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SEO strategy and delivery for a portfolio of B2B service clients, running technical SEO audits, keyword gap analysis, and competitor research in Screaming Frog, then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implement schema and structured data as part of every technical SEO audit, pulling full on-page schema implementation ahead of remediation.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Root-caused a stacked two-bug conversion-tracking failure for a client (a form-relay redirect race condition and a sandboxed iframe isolating the GTM dataLayer) that had silently prevented its highest-value lead conversion from ever firing; verified the fix end to end via direct browser inspection rather than platform debug tooling.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Claim, set up, and optimize Google Business Profile listings as the first deliverable in every client engagement, the foundation the rest of each client's local-search and lead-flow program builds 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deploy AI agent systems for clients using Claude Code, ChatGPT Codex, and Google AI Studio, translating non-technical stakeholders' intent into structured prompts and reliable automation; built rubric-based grading criteria to score AI-generated output against defined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SEO and marketing performance to business-owner stakeholders on a regular cadence, tracking GA4 and Google Search Console across concurrent accounts to turn findings into a prioritized action plan rather than a status update.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SEO &amp; Content Strategist — 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Directed SEO and content direction for a book of national B2B clients, running keyword research and search-term analysis to shape organic content strategy and campaign targeting.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organic conversion KPIs, translating results into optimization recommendations and QBRs for client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strategic lead on multi-stakeholder accounts, holding delivery quality consistent across implementations.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retail), retaining all but one (~94% retention), on Birdeye's proprietary local-listings/data-aggregator solution.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and reduce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People Manager — 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coaching individual performance and owning delivery quality across a high-value account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practices, including client Google Business Profile setup,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hiring, onboarding, and training new hires and developed sales training for tenured account executives as a new Wix vertical scaled from proof of concept to a profitable business line.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On-Page SEO:  </w:t>
      </w:r>
      <w:r>
        <w:rPr>
          <w:rFonts w:ascii="Calibri" w:hAnsi="Calibri"/>
          <w:b w:val="0"/>
          <w:i w:val="0"/>
          <w:color w:val="1A1A1A"/>
        </w:rPr>
        <w:t>Technical SEO Audits, Crawlability &amp; Site Architecture, Schema &amp; Structured Data, Screaming Frog, Keyword Gap Analysis, Content Strategy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Search &amp; Automation:  </w:t>
      </w:r>
      <w:r>
        <w:rPr>
          <w:rFonts w:ascii="Calibri" w:hAnsi="Calibri"/>
          <w:b w:val="0"/>
          <w:i w:val="0"/>
          <w:color w:val="1A1A1A"/>
        </w:rPr>
        <w:t>AEO/GEO Fundamentals, Claude Code, ChatGPT Codex, Google AI Studio, Agent Workflow Design, Prompt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Diagnostics:  </w:t>
      </w:r>
      <w:r>
        <w:rPr>
          <w:rFonts w:ascii="Calibri" w:hAnsi="Calibri"/>
          <w:b w:val="0"/>
          <w:i w:val="0"/>
          <w:color w:val="1A1A1A"/>
        </w:rPr>
        <w:t>GA4, Google Search Console, Google Tag Manager, Ahrefs, Semrush, Conversion Tracking Diagnostics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Leadership &amp; Client Management:  </w:t>
      </w:r>
      <w:r>
        <w:rPr>
          <w:rFonts w:ascii="Calibri" w:hAnsi="Calibri"/>
          <w:b w:val="0"/>
          <w:i w:val="0"/>
          <w:color w:val="1A1A1A"/>
        </w:rPr>
        <w:t>Team Coaching &amp; Development, Hiring &amp; Onboarding, Multi-Client Portfolio Ownership, Client &amp; Account-Manager Briefing, QBRs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