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Bounteous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Specialist, SEO/AEO (Contract)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describes search the way I've come to practice it: entities, AI Overviews, and full-SERP ownership rather than a list of rankings. At my consulting business, Solenzo, I built a 9-dimension audit framework around exactly that shift, scoring entity clarity, topical coverage, content clusters, internal linking, schema, information gain, query networks, trust and authority signals, and GEO/AI visibility. I've published 18 articles on the same ground, including how to earn citations in Google's AI Overviews and why ChatGPT won't recommend a business.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execution side is daily work for me: technical, content, competitive, and local audits in Screaming Frog, Ahrefs, Semrush, and Search Console; schema and on-page fixes shipped directly in client CMS platforms; Google Business Profile optimization for every client; and audit scoring and reporting automated with APIs, LLM calls, and Python or JavaScript code steps. I've worked agency-side across concurrent client accounts and presented strategy and ROI to client leadership.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my SEO clients have been small and mid-sized businesses rather than enterprise brands, and I haven't used Lumar or Yext. A contract role that pairs agency pace with enterprise scope is where I'd like to apply what I've built.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