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31, 2026</w:t>
      </w:r>
    </w:p>
    <w:p>
      <w:pPr>
        <w:spacing w:after="20"/>
      </w:pPr>
      <w:r>
        <w:rPr>
          <w:rFonts w:ascii="Calibri" w:hAnsi="Calibri"/>
          <w:b/>
          <w:color w:val="1A1A1A"/>
        </w:rPr>
        <w:t>Workiva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Solution Development Consultant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Solution Development Consultant role. The posting is clear that this isn't a traditional implementation job, it's agent-based workflows, prompt engineering, and solution architecture applied to real customer problems, and that combination is what I actually do day to day, not something I'd be learning on the job.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Solenzo, I break manual workflows down into agent architectures with custom logic, translate what a non-technical stakeholder wants into precise, structured prompts and agent instructions, and build the evaluation frameworks that monitor whether those agents are actually working so I can improve them instead of guessing. That system runs in production for a portfolio of clients today, twenty-plus workflows deep. Before that, at Accelo, I sold and scoped complex CRM and project-management software for agencies and professional-services firms, built sequenced implementation plans, and worked directly with C-suite stakeholders as a trusted advisor on operational system design, the same kind of ownership from requirements through deployment this role asks for.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What I don't have is direct experience in financial reporting, audit, or regulatory compliance domains. I'd rather say that plainly than let it come up later. What I do have is real, current fluency in the frontier techniques this role is built around, and a track record of getting fast enough on a new domain to become the person a client trusts with it. I'd welcome the chance to talk through whether that trade makes sense for this team.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