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Calibri" w:hAnsi="Calibri"/>
          <w:b/>
          <w:i w:val="0"/>
          <w:color w:val="163A5F"/>
          <w:sz w:val="42"/>
        </w:rPr>
        <w:t>Joshua Rotenberg</w:t>
      </w:r>
    </w:p>
    <w:p>
      <w:pPr>
        <w:spacing w:after="40"/>
        <w:jc w:val="center"/>
      </w:pPr>
      <w:r>
        <w:rPr>
          <w:rFonts w:ascii="Calibri" w:hAnsi="Calibri"/>
          <w:b w:val="0"/>
          <w:i w:val="0"/>
          <w:color w:val="555555"/>
          <w:sz w:val="23"/>
        </w:rPr>
        <w:t>AI Solutions Builder | Agent Architecture, Prompt Engineering &amp; Enterprise Delivery</w:t>
      </w:r>
    </w:p>
    <w:p>
      <w:pPr>
        <w:spacing w:after="80"/>
        <w:jc w:val="center"/>
      </w:pPr>
      <w:r>
        <w:rPr>
          <w:rFonts w:ascii="Calibri" w:hAnsi="Calibri"/>
          <w:b w:val="0"/>
          <w:i w:val="0"/>
          <w:color w:val="555555"/>
          <w:sz w:val="18"/>
        </w:rPr>
        <w:t>Arvada, CO (Remote)  •  303-726-5037  •  jrotnbrg@gmail.com  •  linkedin.com/in/joshua-rotenberg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SUMMARY</w:t>
      </w:r>
    </w:p>
    <w:p>
      <w:pPr>
        <w:spacing w:after="40"/>
      </w:pPr>
      <w:r>
        <w:rPr>
          <w:rFonts w:ascii="Calibri" w:hAnsi="Calibri"/>
          <w:b w:val="0"/>
          <w:i w:val="0"/>
          <w:color w:val="1A1A1A"/>
        </w:rPr>
        <w:t>AI solutions builder with 15+ years delivering software implementations to business customers, and hands-on experience designing agent-based architectures, prompt engineering, and evaluation frameworks that run in production. As founder of Solenzo, I build the autonomous AI systems that drive real client outcomes, then own delivery end-to-end for a portfolio of accounts. New to regulated reporting and compliance domains specifically, but comfortable working at the frontier of what AI can reliably do and turning it into something repeatable.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PROFESSIONAL EXPERIENCE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Founder &amp; Strategic / Marketing Operations Lead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Solenzo LLC</w:t>
      </w:r>
      <w:r>
        <w:rPr>
          <w:rFonts w:ascii="Calibri" w:hAnsi="Calibri"/>
          <w:b w:val="0"/>
          <w:i w:val="0"/>
          <w:color w:val="555555"/>
          <w:sz w:val="18"/>
        </w:rPr>
        <w:tab/>
        <w:t>Feb 2024 - Present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Arvada, CO (Remote)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Break down manual workflows into agent architectures with custom logic that scores a business's digital footprint and generates hyper-personalized outreach.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Translate non-technical stakeholders' generalized ideas and feedback into precise, structured AI prompts and agent instructions, acting as the bridge between business intent and reliable LLM output.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Design self-improving loops and evaluation frameworks to monitor agent outputs and continuously optimize performance.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Architected and deployed a complete AI-driven automation system, 20+ workflows spanning lead capture, qualification, booking, and post-sale nurture, running in production for a portfolio of clients.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Channel Partnerships &amp; Customer Onboarding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Birdeye</w:t>
      </w:r>
      <w:r>
        <w:rPr>
          <w:rFonts w:ascii="Calibri" w:hAnsi="Calibri"/>
          <w:b w:val="0"/>
          <w:i w:val="0"/>
          <w:color w:val="555555"/>
          <w:sz w:val="18"/>
        </w:rPr>
        <w:tab/>
        <w:t>Feb 2023 - Apr 2024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Remote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customers through complex technical setup and configuration of software platforms, translating platform capability into clear guidance for non-technical stakeholders.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Onboarded and managed 15-20 reseller partners, retaining all but one (~94% retention) during tenure.</w:t>
      </w:r>
    </w:p>
    <w:p>
      <w:pPr>
        <w:tabs>
          <w:tab w:pos="10512" w:val="right"/>
        </w:tabs>
        <w:spacing w:before="80" w:after="20"/>
      </w:pPr>
      <w:r>
        <w:rPr>
          <w:rFonts w:ascii="Calibri" w:hAnsi="Calibri"/>
          <w:b/>
          <w:i w:val="0"/>
          <w:color w:val="1A1A1A"/>
          <w:sz w:val="21"/>
        </w:rPr>
        <w:t>Account Executive</w:t>
      </w:r>
      <w:r>
        <w:rPr>
          <w:rFonts w:ascii="Calibri" w:hAnsi="Calibri"/>
          <w:b w:val="0"/>
          <w:i w:val="0"/>
          <w:color w:val="163A5F"/>
          <w:sz w:val="21"/>
        </w:rPr>
        <w:t xml:space="preserve">  |  Accelo</w:t>
      </w:r>
      <w:r>
        <w:rPr>
          <w:rFonts w:ascii="Calibri" w:hAnsi="Calibri"/>
          <w:b w:val="0"/>
          <w:i w:val="0"/>
          <w:color w:val="555555"/>
          <w:sz w:val="18"/>
        </w:rPr>
        <w:tab/>
        <w:t>Apr 2018 - Jul 2020</w:t>
      </w:r>
    </w:p>
    <w:p>
      <w:pPr>
        <w:spacing w:after="20"/>
      </w:pPr>
      <w:r>
        <w:rPr>
          <w:rFonts w:ascii="Calibri" w:hAnsi="Calibri"/>
          <w:b w:val="0"/>
          <w:i/>
          <w:color w:val="555555"/>
          <w:sz w:val="18"/>
        </w:rPr>
        <w:t>Denver, CO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Sold and scoped complex CRM and project-management software to agencies and professional-services firms, with deep fluency in sales enablement, contact management, and pipeline automation.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Guided client onboarding, workflow design, and API integrations, building relationships with C-suite executives as a trusted advisor on operational system design.</w:t>
      </w:r>
    </w:p>
    <w:p>
      <w:pPr>
        <w:spacing w:after="30"/>
        <w:ind w:left="259" w:hanging="259"/>
      </w:pPr>
      <w:r>
        <w:rPr>
          <w:rFonts w:ascii="Calibri" w:hAnsi="Calibri"/>
          <w:b w:val="0"/>
          <w:i w:val="0"/>
          <w:color w:val="163A5F"/>
        </w:rPr>
        <w:t xml:space="preserve">•  </w:t>
      </w:r>
      <w:r>
        <w:rPr>
          <w:rFonts w:ascii="Calibri" w:hAnsi="Calibri"/>
          <w:b w:val="0"/>
          <w:i w:val="0"/>
          <w:color w:val="1A1A1A"/>
        </w:rPr>
        <w:t>Built sequenced implementation plans for incoming clients, ranking which systems to change and in what order, and handed them to the implementation team to execute against.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CORE COMPETENCIES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AI &amp; Agent Engineering:  </w:t>
      </w:r>
      <w:r>
        <w:rPr>
          <w:rFonts w:ascii="Calibri" w:hAnsi="Calibri"/>
          <w:b w:val="0"/>
          <w:i w:val="0"/>
          <w:color w:val="1A1A1A"/>
        </w:rPr>
        <w:t>Agent-Based Architectures, Prompt Engineering, Evaluation Frameworks, Claude, ChatGPT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Enterprise Software Delivery:  </w:t>
      </w:r>
      <w:r>
        <w:rPr>
          <w:rFonts w:ascii="Calibri" w:hAnsi="Calibri"/>
          <w:b w:val="0"/>
          <w:i w:val="0"/>
          <w:color w:val="1A1A1A"/>
        </w:rPr>
        <w:t>Complex Implementation Ownership, Requirements to Deployment, Solution Architecture, API &amp; System Integration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Stakeholder Engagement:  </w:t>
      </w:r>
      <w:r>
        <w:rPr>
          <w:rFonts w:ascii="Calibri" w:hAnsi="Calibri"/>
          <w:b w:val="0"/>
          <w:i w:val="0"/>
          <w:color w:val="1A1A1A"/>
        </w:rPr>
        <w:t>C-Suite Advisory, Technical Workshops, Cross-Functional Coordination</w:t>
      </w:r>
    </w:p>
    <w:p>
      <w:pPr>
        <w:spacing w:after="30"/>
      </w:pPr>
      <w:r>
        <w:rPr>
          <w:rFonts w:ascii="Calibri" w:hAnsi="Calibri"/>
          <w:b/>
          <w:i w:val="0"/>
          <w:color w:val="1A1A1A"/>
        </w:rPr>
        <w:t xml:space="preserve">Platforms:  </w:t>
      </w:r>
      <w:r>
        <w:rPr>
          <w:rFonts w:ascii="Calibri" w:hAnsi="Calibri"/>
          <w:b w:val="0"/>
          <w:i w:val="0"/>
          <w:color w:val="1A1A1A"/>
        </w:rPr>
        <w:t>Salesforce, GoHighLevel, HubSpot</w:t>
      </w:r>
    </w:p>
    <w:p>
      <w:pPr>
        <w:spacing w:before="140" w:after="60"/>
        <w:pBdr>
          <w:bottom w:val="single" w:sz="6" w:space="2" w:color="163a5f"/>
        </w:pBdr>
      </w:pPr>
      <w:r>
        <w:rPr>
          <w:rFonts w:ascii="Calibri" w:hAnsi="Calibri"/>
          <w:b/>
          <w:i w:val="0"/>
          <w:caps/>
          <w:color w:val="163A5F"/>
          <w:sz w:val="21"/>
        </w:rPr>
        <w:t>EDUCATION</w:t>
      </w:r>
    </w:p>
    <w:p>
      <w:pPr>
        <w:spacing w:after="30"/>
      </w:pPr>
      <w:r>
        <w:rPr>
          <w:rFonts w:ascii="Calibri" w:hAnsi="Calibri"/>
          <w:b w:val="0"/>
          <w:i w:val="0"/>
          <w:color w:val="1A1A1A"/>
        </w:rPr>
        <w:t>B.A. Liberal Arts, Minor in Political Science - Colorado State University, Fort Collins, CO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50" w:lineRule="auto" w:after="0"/>
    </w:pPr>
    <w:rPr>
      <w:rFonts w:ascii="Calibri" w:hAnsi="Calibri" w:cs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