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Vi</w:t>
      </w:r>
    </w:p>
    <w:p>
      <w:pPr>
        <w:spacing w:after="160"/>
      </w:pPr>
      <w:r>
        <w:rPr>
          <w:rFonts w:ascii="Calibri" w:hAnsi="Calibri"/>
          <w:b w:val="0"/>
          <w:color w:val="1A1A1A"/>
        </w:rPr>
        <w:t>Re: Manager, Client Services</w:t>
      </w:r>
    </w:p>
    <w:p>
      <w:pPr>
        <w:spacing w:after="160"/>
      </w:pPr>
      <w:r>
        <w:rPr>
          <w:rFonts w:ascii="Calibri" w:hAnsi="Calibri"/>
          <w:b w:val="0"/>
          <w:color w:val="1A1A1A"/>
        </w:rPr>
        <w:t>Dear Hiring Team,</w:t>
      </w:r>
    </w:p>
    <w:p>
      <w:pPr>
        <w:spacing w:after="160"/>
      </w:pPr>
      <w:r>
        <w:rPr>
          <w:rFonts w:ascii="Calibri" w:hAnsi="Calibri"/>
          <w:b w:val="0"/>
          <w:color w:val="1A1A1A"/>
        </w:rPr>
        <w:t>The best client-services work happens before the client notices a problem. You watch the numbers, see the campaign drifting, fix it or flag it, and walk into the next call with the answer and the recommendation. That's how I've run accounts for 15 years, and it's what this role asks for on Vi's Wellness team.</w:t>
      </w:r>
    </w:p>
    <w:p>
      <w:pPr>
        <w:spacing w:after="160"/>
      </w:pPr>
      <w:r>
        <w:rPr>
          <w:rFonts w:ascii="Calibri" w:hAnsi="Calibri"/>
          <w:b w:val="0"/>
          <w:color w:val="1A1A1A"/>
        </w:rPr>
        <w:t>At Level Agency I was the strategic lead on multi-stakeholder accounts across paid media, inbound, and content. I advised clients on how to split ad spend, ran audience-targeted LinkedIn campaigns with A/B-tested setups, and presented performance and recommendations in quarterly reviews. At a performance marketing agency before that, I ran client accounts end to end and turned campaign data into optimization calls. At Birdeye I kept all but one of 15-20 partners, including agencies serving healthcare clients, by catching adoption problems early. I'm Meta Ads certified and build my own reporting in GA4, Power BI, and SQL. I'll be direct that I haven't run programmatic or native buys yet; the planning, measurement, and client work carry over, and I'd get up to speed on those channels quickly.</w:t>
      </w:r>
    </w:p>
    <w:p>
      <w:pPr>
        <w:spacing w:after="160"/>
      </w:pPr>
      <w:r>
        <w:rPr>
          <w:rFonts w:ascii="Calibri" w:hAnsi="Calibri"/>
          <w:b w:val="0"/>
          <w:color w:val="1A1A1A"/>
        </w:rPr>
        <w:t>I'd welcome a conversation about the Wellness portfolio.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