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6, 2026</w:t>
      </w:r>
    </w:p>
    <w:p>
      <w:pPr>
        <w:spacing w:after="20"/>
      </w:pPr>
      <w:r>
        <w:rPr>
          <w:rFonts w:ascii="Calibri" w:hAnsi="Calibri"/>
          <w:b/>
          <w:color w:val="1A1A1A"/>
        </w:rPr>
        <w:t>PetDesk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Project Manager, Implementation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PetDesk does for clinics what I build for service businesses at Solenzo: appointment confirmations and reminders, no-show recovery, bringing lapsed clients back, and review requests. I know how much those workflows matter to a busy front desk, and how easy it is to configure them in a way the staff never actually uses.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Running a pipeline of 30 to 40 implementations is familiar too. At Wix I carried up to 25 onboardings at once and launched 25+ clients a month at 110% of my implementation target, mostly on calls with small-business owners. At Birdeye I onboarded and trained partners on reputation management and marketing automation tools, including healthcare-focused agencies, and retained all but one of 15 to 20.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haven't worked with veterinary clinics yet, and I'd learn your customers' workflows quickly. Open to a conversation at 303-726-5037 or jrotnbrg@gmail.com.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Best,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