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6, 2026</w:t>
      </w:r>
    </w:p>
    <w:p>
      <w:pPr>
        <w:spacing w:after="20"/>
      </w:pPr>
      <w:r>
        <w:rPr>
          <w:rFonts w:ascii="Calibri" w:hAnsi="Calibri"/>
          <w:b/>
          <w:color w:val="1A1A1A"/>
        </w:rPr>
        <w:t>Unanet</w:t>
      </w:r>
    </w:p>
    <w:p>
      <w:pPr>
        <w:spacing w:after="160"/>
      </w:pPr>
      <w:r>
        <w:rPr>
          <w:rFonts w:ascii="Calibri" w:hAnsi="Calibri"/>
          <w:b w:val="0"/>
          <w:color w:val="1A1A1A"/>
        </w:rPr>
        <w:t>Re: Senior Customer Success Manager (AEC)</w:t>
      </w:r>
    </w:p>
    <w:p>
      <w:pPr>
        <w:spacing w:after="160"/>
      </w:pPr>
      <w:r>
        <w:rPr>
          <w:rFonts w:ascii="Calibri" w:hAnsi="Calibri"/>
          <w:b w:val="0"/>
          <w:color w:val="1A1A1A"/>
        </w:rPr>
        <w:t>Dear Hiring Team,</w:t>
      </w:r>
    </w:p>
    <w:p>
      <w:pPr>
        <w:spacing w:after="160"/>
      </w:pPr>
      <w:r>
        <w:rPr>
          <w:rFonts w:ascii="Calibri" w:hAnsi="Calibri"/>
          <w:b w:val="0"/>
          <w:color w:val="1A1A1A"/>
        </w:rPr>
        <w:t>I know the category Unanet sells into from the vendor side. At Accelo I sold and scoped a CRM, project-management, and billing platform to professional-services firms, including architecture and engineering firms, built the implementation plans our delivery team ran with, and worked directly with the executives deciding how their firms would run projects and bill for them. The questions your AEC customers ask about utilization, project visibility, and getting paid on time are the questions I spent two years answering.</w:t>
      </w:r>
    </w:p>
    <w:p>
      <w:pPr>
        <w:spacing w:after="160"/>
      </w:pPr>
      <w:r>
        <w:rPr>
          <w:rFonts w:ascii="Calibri" w:hAnsi="Calibri"/>
          <w:b w:val="0"/>
          <w:color w:val="1A1A1A"/>
        </w:rPr>
        <w:t>Since then I've owned customer outcomes across a portfolio. At Birdeye I watched partner usage closely, stepped in when an account started to slip, and retained all but one of 15 to 20 partners. Today at Solenzo I build CRM and automation systems for electrical, plumbing, and HVAC businesses, so field and project work is familiar ground.</w:t>
      </w:r>
    </w:p>
    <w:p>
      <w:pPr>
        <w:spacing w:after="160"/>
      </w:pPr>
      <w:r>
        <w:rPr>
          <w:rFonts w:ascii="Calibri" w:hAnsi="Calibri"/>
          <w:b w:val="0"/>
          <w:color w:val="1A1A1A"/>
        </w:rPr>
        <w:t>I haven't carried a dedicated AEC book, and I'd be learning Unanet's product and customers specifically. The way architecture, engineering, and trade firms think about projects, people, and billing is not new to me.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