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&amp; AI Data Quality | Data Processing, Output Validation, Technical Support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Detail-focused customer success and operations professional who works hands-on with AI systems and the data behind them. At Solenzo I configure and evaluate AI-generated output, built rubric-based grading criteria for an audit process, and do the underlying data labeling myself. I've cleaned a 1,400+ contact CRM, validate every data import, and write working SQL. 15+ years helping SaaS customers get set up and supported, including a 50+ activities-per-day partner desk at Birdeye.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AI Systems &amp; Data Operations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 and evaluate AI-generated output for client automation systems, scoring it against rubric-based criteria I built, and perform the underlying data labeling personally.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clients' ideas and feedback into precise, structured AI prompts and instructions, the bridge between what a business means and reliable LLM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up and validate data feeds into Salesforce, HubSpot, and GoHighLevel, re-checking every import for accuracy.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Research businesses' digital presence through technical audits (Screaming Frog, schema, competitor research) and turn findings into clear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Wrote and published 18 plain-language articles explaining technical topics for non-technical readers.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across implementations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configuration, handling 50+ partner activities per day.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on best practices for a high-volume partner network, retaining all but one of 15-20 partners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at 110% of implementation targets, guiding each through setup and best practices.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the Salesforce fields required for onboarding workflows, standardizing data capture for accurate tracking and reporting.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Data:  </w:t>
      </w:r>
      <w:r>
        <w:rPr>
          <w:rFonts w:ascii="Calibri" w:hAnsi="Calibri"/>
          <w:b w:val="0"/>
          <w:i w:val="0"/>
          <w:color w:val="1A1A1A"/>
        </w:rPr>
        <w:t>AI Output Evaluation &amp; Data Labeling, Prompt Design (ChatGPT, Claude), SQL (working), Excel, Power BI, Data Import Validation &amp; CRM Cleanup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Support:  </w:t>
      </w:r>
      <w:r>
        <w:rPr>
          <w:rFonts w:ascii="Calibri" w:hAnsi="Calibri"/>
          <w:b w:val="0"/>
          <w:i w:val="0"/>
          <w:color w:val="1A1A1A"/>
        </w:rPr>
        <w:t>Customer Issue Resolution, Technical Setup Guidance, Ticketing Workflows (Zendesk), Best-Practice Consultation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