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Channel &amp; Partner Marketing Manager | Reseller Partnerships, GTM Enablement &amp; B2B Technical Sales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and account leader with direct reseller-partner management experience (15-20 partners, ~94% retention at Birdeye) plus 15+ years of B2B technical sales and GTM/campaign-building across SaaS and agency environments. Comfortable translating complex product capabilities into partner- and customer-facing messaging, and building the ROI reporting that shows which programs actually produce pipeline. Direct gaps worth naming: that partner-management tenure was 14 months, not 5+ years dedicated, and it was not the current role. No cybersecurity, DevSecOps, or Federal/Public Sector partner-ecosystem experience, and no MDF/co-marketing budget management specifically.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Align marketing programs to revenue objectives directly with business owners and sales teams, producing consistent messaging and qualified lead flow.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 and execute full-lifecycle customer strategies spanning demand generation, sales CRM architecture, and customer success, demonstrating clear ROI and revenue growth.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generalized ideas and feedback into precise, structured technical requirements, acting as the bridge between business intent and reliable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delivering insights to executive leadership.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network, driving rapid adoption of marketing automation and reputation management solutions.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workflows, equipping them to communicate product 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Partner &amp; Channel Management:  </w:t>
      </w:r>
      <w:r>
        <w:rPr>
          <w:rFonts w:ascii="Calibri" w:hAnsi="Calibri"/>
          <w:b w:val="0"/>
          <w:i w:val="0"/>
          <w:color w:val="1A1A1A"/>
        </w:rPr>
        <w:t>Reseller Partner Management, Partner Onboarding &amp; Retention, Partner Health &amp; Utilization Analysis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GTM &amp; Campaign Strategy:  </w:t>
      </w:r>
      <w:r>
        <w:rPr>
          <w:rFonts w:ascii="Calibri" w:hAnsi="Calibri"/>
          <w:b w:val="0"/>
          <w:i w:val="0"/>
          <w:color w:val="1A1A1A"/>
        </w:rPr>
        <w:t>Demand Generation, Campaign ROI Reporting, Joint Messaging &amp; Positioning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Sales Enablement:  </w:t>
      </w:r>
      <w:r>
        <w:rPr>
          <w:rFonts w:ascii="Calibri" w:hAnsi="Calibri"/>
          <w:b w:val="0"/>
          <w:i w:val="0"/>
          <w:color w:val="1A1A1A"/>
        </w:rPr>
        <w:t>Salesforce, HubSpot, GoHighLevel, Pipeline Automation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Technical-to-Business Translation:  </w:t>
      </w:r>
      <w:r>
        <w:rPr>
          <w:rFonts w:ascii="Calibri" w:hAnsi="Calibri"/>
          <w:b w:val="0"/>
          <w:i w:val="0"/>
          <w:color w:val="1A1A1A"/>
        </w:rPr>
        <w:t>C-Suite Advisory, Complex Product Messaging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