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Coach | Accountability, Retention &amp; Data-Driven Coaching for Service Businesses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account management professional with 15+ years coaching independent, service-based business owners to better results, not just managing accounts. Has built the exact systems this role runs on, lead capture, appointment booking with no-show recovery, review generation, for a portfolio of local service businesses, and holds clients accountable to the actions that move their numbers, evidenced by ~94% partner retention and quota rankings sustained while targets roughly doubled. New ground: no fitness-industry vertical experience specifically, though the underlying work, building lead-gen, appointment, and sales systems for local business owners, is the same function this role runs 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 owners, running discovery and onboarding to surface goals, objectives, and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capture/tagging/routing, lead qualification, appointment booking with confirmation and reminders, no-show recovery, post-sale onboarding nurture,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owners, producing consistent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Coaching &amp; Accountability:  </w:t>
      </w:r>
      <w:r>
        <w:rPr>
          <w:rFonts w:ascii="Calibri" w:hAnsi="Calibri"/>
          <w:b w:val="0"/>
          <w:i w:val="0"/>
          <w:color w:val="1A1A1A"/>
        </w:rPr>
        <w:t>Performance Coaching, Accountability Conversations, Churn Risk Diagnosis, Retention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Portfolio Management:  </w:t>
      </w:r>
      <w:r>
        <w:rPr>
          <w:rFonts w:ascii="Calibri" w:hAnsi="Calibri"/>
          <w:b w:val="0"/>
          <w:i w:val="0"/>
          <w:color w:val="1A1A1A"/>
        </w:rPr>
        <w:t>Multi-Client Ownership, Onboarding Through Retention, Referral &amp; Testimonial Generation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Data-Driven Diagnosis:  </w:t>
      </w:r>
      <w:r>
        <w:rPr>
          <w:rFonts w:ascii="Calibri" w:hAnsi="Calibri"/>
          <w:b w:val="0"/>
          <w:i w:val="0"/>
          <w:color w:val="1A1A1A"/>
        </w:rPr>
        <w:t>KPI Reporting, ROI / CAC / LTV Analysis, Performance Dashboards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&amp; Sales Systems:  </w:t>
      </w:r>
      <w:r>
        <w:rPr>
          <w:rFonts w:ascii="Calibri" w:hAnsi="Calibri"/>
          <w:b w:val="0"/>
          <w:i w:val="0"/>
          <w:color w:val="1A1A1A"/>
        </w:rPr>
        <w:t>Lead-Gen &amp; Appointment-Booking Automation, No-Show Recovery, Full-Cycle Sales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