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Partner Enablement &amp; GenAI Content Professional | Channel Programs, Training &amp; Scalable Content Systems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Partner enablement and channel professional with 15+ years building scalable programs that drive partner adoption and revenue, including hands-on, daily use of Generative AI to accelerate content creation and workflow productivity. Has onboarded and trained a diverse, high-volume reseller partner network, built sales training curriculum for tenured reps, and architects AI-driven systems that turn a single playbook into ready-to-execute assets at scale.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Use Generative AI as a core part of daily workflow, architecting agent systems that translate business goals into structured content, outreach sequences, and automated deliverables at scale.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reusable, template-based marketing assets and messaging frameworks, adapting a shared base to each client's brand rather than starting from scratch, a one-to-many content model.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Evaluate and pilot GenAI and automation tools (GoHighLevel, Zapier, Make, n8n), recommending the platform that best fits each client's requirements, and design evaluation frameworks with rubric-based grading to keep AI-generated output accurate.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onboarding and training for a diverse, high-volume reseller partner network, driving rapid adoption of marketing-automation and reputation-management solutions.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 (deal sizes ~$10K-$45K), retaining all but one (~94% retention) during tenure.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Developed scalable communication workflows and automated product-training sequences that reduced onboarding friction across the partner network.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partners on retention strategy and customer health metrics, analyzing utilization and performance data to identify adoption gaps and recommend interventions.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vertical, developing sales training curriculum for tenured account executives in addition to onboarding for new hires.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Directly managed and developed a team of onboarding specialists for 2 years (a team of 20, later a team of 8), building the training and process documentation the team ran 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GenAI &amp; Content at Scale:  </w:t>
      </w:r>
      <w:r>
        <w:rPr>
          <w:rFonts w:ascii="Calibri" w:hAnsi="Calibri"/>
          <w:b w:val="0"/>
          <w:i w:val="0"/>
          <w:color w:val="1A1A1A"/>
        </w:rPr>
        <w:t>Generative AI Workflow Integration, AI-Assisted Content Creation, Agentic Automation Design, One-to-Many Asset &amp; Template Systems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Channel &amp; Partner Enablement:  </w:t>
      </w:r>
      <w:r>
        <w:rPr>
          <w:rFonts w:ascii="Calibri" w:hAnsi="Calibri"/>
          <w:b w:val="0"/>
          <w:i w:val="0"/>
          <w:color w:val="1A1A1A"/>
        </w:rPr>
        <w:t>Reseller Partner Onboarding, Partner Training Programs, Channel Health &amp; Retention Metrics, Sales Training Curriculum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Systems &amp; Execution:  </w:t>
      </w:r>
      <w:r>
        <w:rPr>
          <w:rFonts w:ascii="Calibri" w:hAnsi="Calibri"/>
          <w:b w:val="0"/>
          <w:i w:val="0"/>
          <w:color w:val="1A1A1A"/>
        </w:rPr>
        <w:t>Salesforce, HubSpot, Data-Driven Program Tracking, Autonomous Program Ownership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 (2009)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