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AI Marketing Operations | HubSpot Automation, GEO, Paid Media &amp; Email Infrastructure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builder working where CRM automation, paid media, and generative AI meet. I build lead scoring, lifecycle stages, and nurture automation in HubSpot and GoHighLevel, run LinkedIn and Google Ads, set up SPF/DKIM/DMARC and warm-up myself at 99%+ deliverability, and deploy tracking through Google Tag Manager. I've built a 9-dimension framework for how AI search and LLMs read and cite a business, and published 10 articles on semantic SEO and generative engine optimization.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AI Marketing Operations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9-dimension site-trust framework (entity clarity, topical coverage, internal linking, schema, information gain, GEO/AI visibility) and run audits and schema implementation for clients against it.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Published 10 articles on semantic SEO, Google AI Overviews, and why ChatGPT won't recommend a business, part of 18 posts on the Solenzo blog.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lead scoring, qualification criteria, lifecycle stages, and email and SMS nurture in HubSpot and GoHighLevel, with marketing-to-CRM syncs and data hygiene standards.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sending domains, SPF/DKIM/DMARC, and warm-up for outbound email, holding deliverability above 99%.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AI-driven workflows calling the OpenAI and Claude APIs inside n8n, Make, and Zapier to score prospects and generate 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Deploy GA4 events, Meta Pixel, and Google Ads conversion tags through custom GTM triggers and variables, and work directly in HTML/CSS.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account-based LinkedIn campaigns with A/B-tested setups and planned budgets across ~3 accounts at $20K+/month in ad spend, peaking above $100K/month, reporting ROI, CAC, and LTV.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Worked intent and routing tools synced to Salesforce and managed 15-20 reseller partners,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paid media and creative performance at a performance marketing agency and closed 6 deals averaging ~$22K.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a 30% traffic increase and 25% conversion improvement across the e-commerce segment through site architecture, inbound, and SEO work.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Ops &amp; AI:  </w:t>
      </w:r>
      <w:r>
        <w:rPr>
          <w:rFonts w:ascii="Calibri" w:hAnsi="Calibri"/>
          <w:b w:val="0"/>
          <w:i w:val="0"/>
          <w:color w:val="1A1A1A"/>
        </w:rPr>
        <w:t>HubSpot, Lead Scoring &amp; Lifecycle, GEO &amp; AI Search Visibility, OpenAI &amp; Claude APIs, n8n, Make, Zapier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Paid, Email &amp; Web:  </w:t>
      </w:r>
      <w:r>
        <w:rPr>
          <w:rFonts w:ascii="Calibri" w:hAnsi="Calibri"/>
          <w:b w:val="0"/>
          <w:i w:val="0"/>
          <w:color w:val="1A1A1A"/>
        </w:rPr>
        <w:t>LinkedIn &amp; Google Ads, SPF/DKIM/DMARC, Salesloft, Apollo, HeyReach, GTM &amp; GA4, HTML/CSS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