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Performance Marketing &amp; B2B Demand Gen | Google, LinkedIn, Meta, HubSpot</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Hands-on B2B performance marketer with 15+ years across agency, MarTech, and SaaS, building campaigns inside the platforms and reporting in terms the business cares about: pipeline, CAC, and ROI. Runs Google Ads hands-on, built A/B-tested LinkedIn campaigns for small, researched B2B audiences, and is Meta Ads certified. Keeps tracking clean with Google Tag Manager, GA4, and HubSpot, and uses AI tools daily to research, write, and scale outreach. Disciplined about documentation and data hygiene.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and low-quality leads and improve click quality, then diagnosed on-site conversion as the remaining bottleneck rather than spending more on traffic.</w:t>
      </w:r>
    </w:p>
    <w:p>
      <w:pPr>
        <w:spacing w:after="30"/>
        <w:ind w:left="259" w:hanging="259"/>
      </w:pPr>
      <w:r>
        <w:rPr>
          <w:rFonts w:ascii="Calibri" w:hAnsi="Calibri"/>
          <w:b w:val="0"/>
          <w:i w:val="0"/>
          <w:color w:val="163A5F"/>
        </w:rPr>
        <w:t xml:space="preserve">•  </w:t>
      </w:r>
      <w:r>
        <w:rPr>
          <w:rFonts w:ascii="Calibri" w:hAnsi="Calibri"/>
          <w:b w:val="0"/>
          <w:i w:val="0"/>
          <w:color w:val="1A1A1A"/>
        </w:rPr>
        <w:t>Install Google Tag Manager on every site built and implement GA4 tracking directly in site code, so campaign results can be measured outside the ad platforms.</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in Power BI and GA4 tracking lead generation, funnel progression, and campaign ROI, writing SQL for BigQuery/GA4 pulls.</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ad copy, landing pages, and email and SMS sequences, and built 20+ automated lifecycle workflows that convert and retain leads.</w:t>
      </w:r>
    </w:p>
    <w:p>
      <w:pPr>
        <w:spacing w:after="30"/>
        <w:ind w:left="259" w:hanging="259"/>
      </w:pPr>
      <w:r>
        <w:rPr>
          <w:rFonts w:ascii="Calibri" w:hAnsi="Calibri"/>
          <w:b w:val="0"/>
          <w:i w:val="0"/>
          <w:color w:val="163A5F"/>
        </w:rPr>
        <w:t xml:space="preserve">•  </w:t>
      </w:r>
      <w:r>
        <w:rPr>
          <w:rFonts w:ascii="Calibri" w:hAnsi="Calibri"/>
          <w:b w:val="0"/>
          <w:i w:val="0"/>
          <w:color w:val="1A1A1A"/>
        </w:rPr>
        <w:t>Built an AI-assisted audit and outreach workflow and grew it through LinkedIn content: 180+ businesses enrolled, 2 converted to paying clients.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across paid campaigns.</w:t>
      </w:r>
    </w:p>
    <w:p>
      <w:pPr>
        <w:spacing w:after="30"/>
        <w:ind w:left="259" w:hanging="259"/>
      </w:pPr>
      <w:r>
        <w:rPr>
          <w:rFonts w:ascii="Calibri" w:hAnsi="Calibri"/>
          <w:b w:val="0"/>
          <w:i w:val="0"/>
          <w:color w:val="163A5F"/>
        </w:rPr>
        <w:t xml:space="preserve">•  </w:t>
      </w:r>
      <w:r>
        <w:rPr>
          <w:rFonts w:ascii="Calibri" w:hAnsi="Calibri"/>
          <w:b w:val="0"/>
          <w:i w:val="0"/>
          <w:color w:val="1A1A1A"/>
        </w:rPr>
        <w:t>Designed account-based LinkedIn ad campaigns targeting small, highly researched audiences with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delivering QBRs and optimization recommendations to senior stakeholders.</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inbound, paid media, and content, and produced landing pages and conversion-focused copy.</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across health, home services, and retail, retaining all but one (~94% retention), and tracked the book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turned results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(~$130K+ total).</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Paid Media:  </w:t>
      </w:r>
      <w:r>
        <w:rPr>
          <w:rFonts w:ascii="Calibri" w:hAnsi="Calibri"/>
          <w:b w:val="0"/>
          <w:i w:val="0"/>
          <w:color w:val="1A1A1A"/>
        </w:rPr>
        <w:t>Google Ads, Meta Ads (certified), LinkedIn Ads, Budget Planning &amp; Pacing, A/B Testing, Ad Copy &amp; Creative Direction, Landing Pages</w:t>
      </w:r>
    </w:p>
    <w:p>
      <w:pPr>
        <w:spacing w:after="30"/>
      </w:pPr>
      <w:r>
        <w:rPr>
          <w:rFonts w:ascii="Calibri" w:hAnsi="Calibri"/>
          <w:b/>
          <w:i w:val="0"/>
          <w:color w:val="1A1A1A"/>
        </w:rPr>
        <w:t xml:space="preserve">Measurement:  </w:t>
      </w:r>
      <w:r>
        <w:rPr>
          <w:rFonts w:ascii="Calibri" w:hAnsi="Calibri"/>
          <w:b w:val="0"/>
          <w:i w:val="0"/>
          <w:color w:val="1A1A1A"/>
        </w:rPr>
        <w:t>GA4, Google Tag Manager, Conversion Tracking Setup, Power BI, SQL (BigQuery), Excel</w:t>
      </w:r>
    </w:p>
    <w:p>
      <w:pPr>
        <w:spacing w:after="30"/>
      </w:pPr>
      <w:r>
        <w:rPr>
          <w:rFonts w:ascii="Calibri" w:hAnsi="Calibri"/>
          <w:b/>
          <w:i w:val="0"/>
          <w:color w:val="1A1A1A"/>
        </w:rPr>
        <w:t xml:space="preserve">Stack:  </w:t>
      </w:r>
      <w:r>
        <w:rPr>
          <w:rFonts w:ascii="Calibri" w:hAnsi="Calibri"/>
          <w:b w:val="0"/>
          <w:i w:val="0"/>
          <w:color w:val="1A1A1A"/>
        </w:rPr>
        <w:t>HubSpot, Salesforce, GoHighLevel, Claude, ChatGPT, Zapier, Make, n8n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