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September 9, 2026</w:t>
      </w:r>
    </w:p>
    <w:p>
      <w:pPr>
        <w:spacing w:after="20"/>
      </w:pPr>
      <w:r>
        <w:rPr>
          <w:rFonts w:ascii="Calibri" w:hAnsi="Calibri"/>
          <w:b/>
          <w:color w:val="1A1A1A"/>
        </w:rPr>
        <w:t>SkillZilla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Chief Marketing Officer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want to be direct about something before anything else: I've never held the title Chief Marketing Officer. What I have done since 2024 is run the entire marketing function for my own company, strategy, brand, budget, and execution, with no department to hand things off to. For a pre-seed company, that's usually closer to what the first marketing hire actually needs than a corporate CMO resume is.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At Solenzo, I've built AI-driven marketing systems, written the thought leadership and brand voice, and tied every campaign back to revenue with the reporting to prove it, demand generation, funnel tracking, ROI. At Wix, I managed and developed a team of up to 20 people while owning budget and delivery for a high-value portfolio, and helped take a brand-new business vertical from proof of concept to profitable. Across 15 years before that, in growth and account roles, I built the market-analysis and business-development instincts that sit underneath all of it.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SkillZilla is building something I'd want to be part of on the merits, not just the equity. If you want someone who builds a marketing function from the ground floor rather than someone who's only ever managed one that already existed, I'd welcome the conversation.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