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i w:val="0"/>
          <w:color w:val="1A1A1A"/>
          <w:sz w:val="42"/>
        </w:rPr>
        <w:t>Joshua Aaron Rotenberg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555555"/>
          <w:sz w:val="23"/>
        </w:rPr>
        <w:t>Sales Operations &amp; Customer Engagement Specialist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SUMMARY</w:t>
      </w:r>
    </w:p>
    <w:p>
      <w:pPr>
        <w:spacing w:after="40"/>
      </w:pPr>
      <w:r>
        <w:rPr>
          <w:rFonts w:ascii="Times New Roman" w:hAnsi="Times New Roman"/>
          <w:b w:val="0"/>
          <w:i w:val="0"/>
          <w:color w:val="1A1A1A"/>
        </w:rPr>
        <w:t>Operations specialist with 15+ years supporting sales, onboarding, and account management in B2B SaaS, including CRM-based deal coordination, cross-functional stakeholder communication, and process improvement. Builds and maintains Salesforce and HubSpot workflows to keep complex, multi-stakeholder processes moving on deadline, and has advised clients directly on budget planning, account documentation, and deal cycles. Comfortable being the point of contact who keeps a deal, renewal, or onboarding process on track as priorities and stakeholders multiply.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Founder &amp; Strategic / Marketing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Solenzo LLC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Own the primary strategic relationship for a portfolio of service-based businesses, running discovery and onboarding to surface client goals, objectives, and market challenges.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Architect and implement complex CRM systems in GoHighLevel (primary) and HubSpot — contact segmentation, lifecycle stages, and strict data-hygiene protocols.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Identify strategic opportunities to expand retainer scope, recommending and scoping complementary services aligned with client objectives.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Document every client interaction, timeline, and deliverable in GoHighLevel, HubSpot, and Notion, keeping project records auditable across concurrent engagements.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up to 3 concurrent client engagements at peak, coordinating competing priorities and deadlines while personally building and running each client's operational systems.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Client Strategist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Level Agency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2024 – Feb 2025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Advised client businesses on ad-spend budget planning and allocation across paid campaigns.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Channel Partnerships &amp; Customer Onboarding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Birdeye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managed 15–20 reseller partners (deal sizes ~$10K–$45K, spanning health, home services, and retail verticals), retaining all but one (~94% retention) during tenure, managing the pipeline and account records in Salesforce.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Advised partners on retention strategy, customer health metrics, and automated workflows, equipping them to communicate product value.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Sales Operations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Fetch &amp; Funnel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Ran client accounts end to end at a performance marketing agency, coordinating campaign execution, performance reporting, and cross-team communication, managing workflows and tasks in ClickUp.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Wix.com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Directly managed and developed a team of onboarding specialists for 2 years — a team of 20, later a team of 8 —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Advised on A/B testing strategy for a Salesforce-based workflow-automation effort, defining test structure and success criteria for the team building it.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Accelo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Apr 2018 – Jul 2020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Escalated issues to leadership early and mitigated account-level risk with direct strategic guidance.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CORE COMPETENCIES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Deal &amp; Customer Operations:  </w:t>
      </w:r>
      <w:r>
        <w:rPr>
          <w:rFonts w:ascii="Times New Roman" w:hAnsi="Times New Roman"/>
          <w:b w:val="0"/>
          <w:i w:val="0"/>
          <w:color w:val="1A1A1A"/>
        </w:rPr>
        <w:t>Deal-Cycle Coordination, Contract &amp; Agreement Support, Quote &amp; Proposal Support, Budget Planning &amp; Allocation, Renewal &amp; Retention Support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CRM &amp; Systems:  </w:t>
      </w:r>
      <w:r>
        <w:rPr>
          <w:rFonts w:ascii="Times New Roman" w:hAnsi="Times New Roman"/>
          <w:b w:val="0"/>
          <w:i w:val="0"/>
          <w:color w:val="1A1A1A"/>
        </w:rPr>
        <w:t>Salesforce (Primary CRM, multiple roles), HubSpot, GoHighLevel, Workflow Design, Data Hygiene, Reporting &amp; Dashboards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Cross-Functional Coordination:  </w:t>
      </w:r>
      <w:r>
        <w:rPr>
          <w:rFonts w:ascii="Times New Roman" w:hAnsi="Times New Roman"/>
          <w:b w:val="0"/>
          <w:i w:val="0"/>
          <w:color w:val="1A1A1A"/>
        </w:rPr>
        <w:t>Multi-Stakeholder Management, Escalation Management, Cross-Team Alignment, Process Improvement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Communication &amp; Relationship Management:  </w:t>
      </w:r>
      <w:r>
        <w:rPr>
          <w:rFonts w:ascii="Times New Roman" w:hAnsi="Times New Roman"/>
          <w:b w:val="0"/>
          <w:i w:val="0"/>
          <w:color w:val="1A1A1A"/>
        </w:rPr>
        <w:t>Client &amp; Partner Relationship Management, Customer Health Advisory, Written &amp; Verbal Communication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Tools &amp; Platforms:  </w:t>
      </w:r>
      <w:r>
        <w:rPr>
          <w:rFonts w:ascii="Times New Roman" w:hAnsi="Times New Roman"/>
          <w:b w:val="0"/>
          <w:i w:val="0"/>
          <w:color w:val="1A1A1A"/>
        </w:rPr>
        <w:t>Salesforce, HubSpot, GoHighLevel, Notion, ClickUp, Asana, Monday.com, Slack, Google Apps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EDUCATION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B.A. Liberal Arts, Minor in Political Science — Colorado State University, Fort Collins, CO (2009)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Times New Roman" w:hAnsi="Times New Roman" w:cs="Times New Roman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