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color w:val="1A1A1A"/>
          <w:sz w:val="36"/>
        </w:rPr>
        <w:t>Joshua Aaron Rotenberg</w:t>
      </w:r>
    </w:p>
    <w:p>
      <w:pPr>
        <w:spacing w:after="200"/>
        <w:jc w:val="center"/>
      </w:pPr>
      <w:r>
        <w:rPr>
          <w:rFonts w:ascii="Times New Roman" w:hAnsi="Times New Roman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Times New Roman" w:hAnsi="Times New Roman"/>
          <w:b w:val="0"/>
          <w:color w:val="1A1A1A"/>
        </w:rPr>
        <w:t>September 18, 2026</w:t>
      </w:r>
    </w:p>
    <w:p>
      <w:pPr>
        <w:spacing w:after="20"/>
      </w:pPr>
      <w:r>
        <w:rPr>
          <w:rFonts w:ascii="Times New Roman" w:hAnsi="Times New Roman"/>
          <w:b/>
          <w:color w:val="1A1A1A"/>
        </w:rPr>
        <w:t>PLTW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Re: Engagement Operations Specialist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Dear Hiring Team,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The Engagement Operations Specialist role is built around a real operational problem: keeping an agreement or renewal moving when it touches several stakeholders and a customer's own approval calendar. That has been my job in B2B SaaS for 15 years, usually inside a faster sales cycle than education purchasing runs on.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Salesforce has been my primary CRM at two employers, Birdeye and Wix, where I managed account and pipeline records, renewal-relevant customer health data, and cross-functional communication. At Birdeye I onboarded and managed 15 to 20 reseller partners across health, home services, and retail, retaining all but one. At Level Agency I advised client businesses directly on ad-spend budget planning and allocation. Across every role, the common thread is being the person who keeps a multi-stakeholder process, an implementation, a renewal, an agreement, from stalling.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I don't have direct K-12 or school-district purchasing experience, and I want to say that plainly rather than imply otherwise. What I bring is the deal-coordination and CRM discipline this role runs on, and I would learn the education-purchasing specifics fast. I would welcome the chance to talk through how I would approach the first 90 days.</w:t>
      </w:r>
    </w:p>
    <w:p>
      <w:pPr>
        <w:spacing w:after="280"/>
      </w:pPr>
      <w:r>
        <w:rPr>
          <w:rFonts w:ascii="Times New Roman" w:hAnsi="Times New Roman"/>
          <w:b w:val="0"/>
          <w:color w:val="1A1A1A"/>
        </w:rPr>
        <w:t>Sincerely,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Joshua Aaron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Times New Roman" w:hAnsi="Times New Roman" w:cs="Times New Roman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