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Bloom Credit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Bloom Credit turns everyday payments into credit history, and implementation is the stretch where that promise either lands for a client or stalls. I want to own that window for you, from signed contract to go-live, on time and without surprises on either side.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ran onboarding and launch as the client's single point of contact, delivering 25+ implementations a month while holding 120% of sales targets and 110% of implementation targets, then led a team of onboarding specialists doing the same work at scale. At Accelo, I built sequenced implementation plans for incoming clients and escalated risk to leadership early, before it threatened a launch date, and handed execution to the implementation team, the schedule and coordination role rather than the technical decision. At Birdeye, I onboarded and managed 15-20 reseller partners across health, home services, and retail, coordinating with Product and Engineering on technical feedback while keeping the relationship and the timeline mine to run.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15+ years as the person clients call for a straight answer on status, and the person internal teams hear from before a date slips, not after. I'd welcome the chance to bring that discipline to Bloom Credit's implementation function from day one.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