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17, 2026</w:t>
      </w:r>
    </w:p>
    <w:p>
      <w:pPr>
        <w:spacing w:after="20"/>
      </w:pPr>
      <w:r>
        <w:rPr>
          <w:rFonts w:ascii="Calibri" w:hAnsi="Calibri"/>
          <w:b/>
          <w:color w:val="1A1A1A"/>
        </w:rPr>
        <w:t>Buyers Edge Platform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Digital Marketing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Buyers Edge Platform needs someone who runs paid media, SEO, and landing pages day to day while turning vendor-delivered work into finished campaigns, and that is exactly the shape of my marketing work right now. At Solenzo, I run technical SEO audits, build landing pages directly in HTML and CSS, and manage GA4 tracking end to end for B2B clients.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Level Agency, I designed and ran LinkedIn ad campaigns using an account-based-marketing approach, small, highly researched audiences with A/B-tested setups instead of broad targeting, and I advised clients directly on ad-spend budget planning. I also use ChatGPT and Claude daily as production tools for research, drafting, and campaign analysis, the same AI-assisted workflow this role expects, not a talking point I picked up for the interview.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Before any of that, I spent 15 years as a cook across multiple restaurants. I know what a slow Tuesday dinner service feels like and what a distributor delay does to a kitchen. I am not learning your audience from a brief, I already think the way they think, and that combination is rare in a paid-media candidate.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about how that fits the Digital Marketing Specialist role.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