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Demand Marketing Specialist | Channel Ownership, Pipeline Generation &amp; Funnel Optimization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Demand generation practitioner who has owned an outbound and email channel end-to-end, from targeting and segmentation through appointment booking, at Solenzo, where 20+ automated workflows and a free-audit funnel enrolled 180+ businesses and generated qualified conversations. Builds and optimizes the full funnel personally: campaign targeting, sequencing, conversion tracking, and reporting, using GoHighLevel and HubSpot as the operating systems. Comfortable translating channel performance into the language sales teams act on, from a career spent split between building demand and closing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and outbound outreach engines in GoHighLevel (website-visibility, missed-calls, and low-reviews campaigns) plus an automated prospect 'audit' workflow that enrolled 180+ contacts, scoring each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marketing-automation system, 20+ workflows spanning lead capture/tagging/routing, lead qualification, and appointment booking with confirmation, reminders, and no-show recovery.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 free digital-footprint audit offer promoted through organic channel growth, enrolling 180+ businesses and converting a share to paying clients, tracked and reported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channel and agent performance and continuously optimize results.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Demand Generation &amp; Channel Ownership:  </w:t>
      </w:r>
      <w:r>
        <w:rPr>
          <w:rFonts w:ascii="Calibri" w:hAnsi="Calibri"/>
          <w:b w:val="0"/>
          <w:i w:val="0"/>
          <w:color w:val="1A1A1A"/>
        </w:rPr>
        <w:t>Outbound &amp; Email Channel Ownership, Lead Capture, Tagging &amp; Routing, Automated Nurture Sequences, Appointment/Meeting Generation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Funnel &amp; Pipeline Analytics:  </w:t>
      </w:r>
      <w:r>
        <w:rPr>
          <w:rFonts w:ascii="Calibri" w:hAnsi="Calibri"/>
          <w:b w:val="0"/>
          <w:i w:val="0"/>
          <w:color w:val="1A1A1A"/>
        </w:rPr>
        <w:t>Funnel Conversion Tracking, ROI / CAC / LTV Reporting, Pipeline Reporting &amp; Dashboards, Testing &amp; Iteration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ICP &amp; Targeting:  </w:t>
      </w:r>
      <w:r>
        <w:rPr>
          <w:rFonts w:ascii="Calibri" w:hAnsi="Calibri"/>
          <w:b w:val="0"/>
          <w:i w:val="0"/>
          <w:color w:val="1A1A1A"/>
        </w:rPr>
        <w:t>Segmentation, Digital Footprint Scoring, List Building, Campaign Targeting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 (Automation &amp; Sequencing), HubSpot, Salesforce,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