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Customer Experience &amp; Google Ads Specialist | Technical Troubleshooting, Account Ownership &amp; Cross-Functional Partnership</w:t>
      </w:r>
    </w:p>
    <w:p>
      <w:pPr>
        <w:spacing w:after="80"/>
        <w:jc w:val="center"/>
      </w:pPr>
      <w:r>
        <w:rPr>
          <w:rFonts w:ascii="Calibri" w:hAnsi="Calibri"/>
          <w:b w:val="0"/>
          <w:i w:val="0"/>
          <w:color w:val="555555"/>
          <w:sz w:val="18"/>
        </w:rPr>
        <w:t>Arvada, CO (Boulder Metro)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Customer-facing operations professional with 15+ years owning end-to-end technical solutioning for advertisers, partners, and SaaS customers. Manages Google Ads accounts hands-on, diagnosing performance issues to their real root cause rather than stopping at a surface metric, and has built the dashboards and reporting that turn platform data into business recommendations. Onboarded and supported a 15-20 partner network at a customer-experience-driven SaaS platform with roughly 94% retention, working cross-functionally with Product and Engineering to route customer feedback into resolution. Google Digital Marketing &amp; E-Commerce certified, Colorado-based.</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Google Ads accounts end to end for clients: diagnosed an account where click and impression metrics looked healthy but lead quality did not, rebuilt targeting and negative keywords to resolve the immediate issue, then traced the remaining root cause to the site's conversion path rather than closing the ticket on a surface-level fix.</w:t>
      </w:r>
    </w:p>
    <w:p>
      <w:pPr>
        <w:spacing w:after="30"/>
        <w:ind w:left="259" w:hanging="259"/>
      </w:pPr>
      <w:r>
        <w:rPr>
          <w:rFonts w:ascii="Calibri" w:hAnsi="Calibri"/>
          <w:b w:val="0"/>
          <w:i w:val="0"/>
          <w:color w:val="163A5F"/>
        </w:rPr>
        <w:t xml:space="preserve">•  </w:t>
      </w:r>
      <w:r>
        <w:rPr>
          <w:rFonts w:ascii="Calibri" w:hAnsi="Calibri"/>
          <w:b w:val="0"/>
          <w:i w:val="0"/>
          <w:color w:val="1A1A1A"/>
        </w:rPr>
        <w:t>Provide consultative, empathetic technical troubleshooting for clients across CRM, marketing automation, and ad platforms, owning issues from identification through resolution rather than handing off partway.</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and business-analysis reporting - funnel progression, campaign ROI, conversion - translating platform data into recommendations for non-technical stakeholders.</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 gap analyses, and competitor research, applying the same root-cause diagnostic discipline used across every account.</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translating results into strategic recommendations for client leadership.</w:t>
      </w:r>
    </w:p>
    <w:p>
      <w:pPr>
        <w:spacing w:after="30"/>
        <w:ind w:left="259" w:hanging="259"/>
      </w:pPr>
      <w:r>
        <w:rPr>
          <w:rFonts w:ascii="Calibri" w:hAnsi="Calibri"/>
          <w:b w:val="0"/>
          <w:i w:val="0"/>
          <w:color w:val="163A5F"/>
        </w:rPr>
        <w:t xml:space="preserve">•  </w:t>
      </w:r>
      <w:r>
        <w:rPr>
          <w:rFonts w:ascii="Calibri" w:hAnsi="Calibri"/>
          <w:b w:val="0"/>
          <w:i w:val="0"/>
          <w:color w:val="1A1A1A"/>
        </w:rPr>
        <w:t>Coordinated execution across internal departments, keeping delivery and client communication consistent across concurrent accounts.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Served as the front-line point of contact for a 15-20 partner network, troubleshooting technical issues, guiding complex account setup and configuration, and coordinating resolution with Product and Engineering.</w:t>
      </w:r>
    </w:p>
    <w:p>
      <w:pPr>
        <w:spacing w:after="30"/>
        <w:ind w:left="259" w:hanging="259"/>
      </w:pPr>
      <w:r>
        <w:rPr>
          <w:rFonts w:ascii="Calibri" w:hAnsi="Calibri"/>
          <w:b w:val="0"/>
          <w:i w:val="0"/>
          <w:color w:val="163A5F"/>
        </w:rPr>
        <w:t xml:space="preserve">•  </w:t>
      </w:r>
      <w:r>
        <w:rPr>
          <w:rFonts w:ascii="Calibri" w:hAnsi="Calibri"/>
          <w:b w:val="0"/>
          <w:i w:val="0"/>
          <w:color w:val="1A1A1A"/>
        </w:rPr>
        <w:t>Routed structured, high-priority customer feedback into roadmap decisions, connecting field-level issues to product improvements.</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data to identify recurring issues and root causes, recommending interventions that reduced churn and retained all but one partner (~94% retention).</w:t>
      </w:r>
    </w:p>
    <w:p>
      <w:pPr>
        <w:spacing w:after="30"/>
        <w:ind w:left="259" w:hanging="259"/>
      </w:pPr>
      <w:r>
        <w:rPr>
          <w:rFonts w:ascii="Calibri" w:hAnsi="Calibri"/>
          <w:b w:val="0"/>
          <w:i w:val="0"/>
          <w:color w:val="163A5F"/>
        </w:rPr>
        <w:t xml:space="preserve">•  </w:t>
      </w:r>
      <w:r>
        <w:rPr>
          <w:rFonts w:ascii="Calibri" w:hAnsi="Calibri"/>
          <w:b w:val="0"/>
          <w:i w:val="0"/>
          <w:color w:val="1A1A1A"/>
        </w:rPr>
        <w:t>Built training sequences and documentation that reduced repeat support requests and onboarding friction across a high-volume partner network.</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Advised C-suite stakeholders on operational system design as a trusted advisor, guiding onboarding, workflow design, and API integrations, and troubleshooting technical setup issues directly with clients.</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ranking which systems to change and in what order, coordinating with delivery teams to execute.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Customer Experience &amp; Troubleshooting:  </w:t>
      </w:r>
      <w:r>
        <w:rPr>
          <w:rFonts w:ascii="Calibri" w:hAnsi="Calibri"/>
          <w:b w:val="0"/>
          <w:i w:val="0"/>
          <w:color w:val="1A1A1A"/>
        </w:rPr>
        <w:t>Technical Issue Triage &amp; Root-Cause Analysis, End-to-End Solutioning, Consultative Support, Account Configuration &amp; Setup, Cross-Functional Escalation &amp; Resolution</w:t>
      </w:r>
    </w:p>
    <w:p>
      <w:pPr>
        <w:spacing w:after="30"/>
      </w:pPr>
      <w:r>
        <w:rPr>
          <w:rFonts w:ascii="Calibri" w:hAnsi="Calibri"/>
          <w:b/>
          <w:i w:val="0"/>
          <w:color w:val="1A1A1A"/>
        </w:rPr>
        <w:t xml:space="preserve">Google Ads &amp; Digital Advertising:  </w:t>
      </w:r>
      <w:r>
        <w:rPr>
          <w:rFonts w:ascii="Calibri" w:hAnsi="Calibri"/>
          <w:b w:val="0"/>
          <w:i w:val="0"/>
          <w:color w:val="1A1A1A"/>
        </w:rPr>
        <w:t>Google Ads Campaign Management, Performance Diagnosis, Conversion Tracking, Google Tag Manager, Keyword &amp; Targeting Strategy</w:t>
      </w:r>
    </w:p>
    <w:p>
      <w:pPr>
        <w:spacing w:after="30"/>
      </w:pPr>
      <w:r>
        <w:rPr>
          <w:rFonts w:ascii="Calibri" w:hAnsi="Calibri"/>
          <w:b/>
          <w:i w:val="0"/>
          <w:color w:val="1A1A1A"/>
        </w:rPr>
        <w:t xml:space="preserve">Business Analysis &amp; Reporting:  </w:t>
      </w:r>
      <w:r>
        <w:rPr>
          <w:rFonts w:ascii="Calibri" w:hAnsi="Calibri"/>
          <w:b w:val="0"/>
          <w:i w:val="0"/>
          <w:color w:val="1A1A1A"/>
        </w:rPr>
        <w:t>Performance Dashboards, GA4, Google Search Console, ROI / Conversion Analysis, Data-Driven Recommendations</w:t>
      </w:r>
    </w:p>
    <w:p>
      <w:pPr>
        <w:spacing w:after="30"/>
      </w:pPr>
      <w:r>
        <w:rPr>
          <w:rFonts w:ascii="Calibri" w:hAnsi="Calibri"/>
          <w:b/>
          <w:i w:val="0"/>
          <w:color w:val="1A1A1A"/>
        </w:rPr>
        <w:t xml:space="preserve">Stakeholder &amp; Partner Management:  </w:t>
      </w:r>
      <w:r>
        <w:rPr>
          <w:rFonts w:ascii="Calibri" w:hAnsi="Calibri"/>
          <w:b w:val="0"/>
          <w:i w:val="0"/>
          <w:color w:val="1A1A1A"/>
        </w:rPr>
        <w:t>Cross-Functional Stakeholder Management, Partner &amp; Account Retention, Voice-of-Customer to Product, C-Suite Advisory, Documentation &amp; Process Improvement</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