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color w:val="163A5F"/>
          <w:sz w:val="36"/>
        </w:rPr>
        <w:t>Joshua Rotenberg</w:t>
      </w:r>
    </w:p>
    <w:p>
      <w:pPr>
        <w:spacing w:after="200"/>
        <w:jc w:val="center"/>
      </w:pPr>
      <w:r>
        <w:rPr>
          <w:rFonts w:ascii="Calibri" w:hAnsi="Calibri"/>
          <w:b w:val="0"/>
          <w:color w:val="555555"/>
          <w:sz w:val="18"/>
        </w:rPr>
        <w:t>Arvada, CO (Denver Metro)  •  303-726-5037  •  jrotnbrg@gmail.com  •  linkedin.com/in/joshua-rotenberg</w:t>
      </w:r>
    </w:p>
    <w:p>
      <w:pPr>
        <w:spacing w:after="120"/>
      </w:pPr>
      <w:r>
        <w:rPr>
          <w:rFonts w:ascii="Calibri" w:hAnsi="Calibri"/>
          <w:b w:val="0"/>
          <w:color w:val="1A1A1A"/>
        </w:rPr>
        <w:t>September 16, 2026</w:t>
      </w:r>
    </w:p>
    <w:p>
      <w:pPr>
        <w:spacing w:after="20"/>
      </w:pPr>
      <w:r>
        <w:rPr>
          <w:rFonts w:ascii="Calibri" w:hAnsi="Calibri"/>
          <w:b/>
          <w:color w:val="1A1A1A"/>
        </w:rPr>
        <w:t>Invoca</w:t>
      </w:r>
    </w:p>
    <w:p>
      <w:pPr>
        <w:spacing w:after="160"/>
      </w:pPr>
      <w:r>
        <w:rPr>
          <w:rFonts w:ascii="Calibri" w:hAnsi="Calibri"/>
          <w:b w:val="0"/>
          <w:color w:val="1A1A1A"/>
        </w:rPr>
        <w:t>Re: Revenue Operations Manager</w:t>
      </w:r>
    </w:p>
    <w:p>
      <w:pPr>
        <w:spacing w:after="160"/>
      </w:pPr>
      <w:r>
        <w:rPr>
          <w:rFonts w:ascii="Calibri" w:hAnsi="Calibri"/>
          <w:b w:val="0"/>
          <w:color w:val="1A1A1A"/>
        </w:rPr>
        <w:t>Dear Hiring Team,</w:t>
      </w:r>
    </w:p>
    <w:p>
      <w:pPr>
        <w:spacing w:after="160"/>
      </w:pPr>
      <w:r>
        <w:rPr>
          <w:rFonts w:ascii="Calibri" w:hAnsi="Calibri"/>
          <w:b w:val="0"/>
          <w:color w:val="1A1A1A"/>
        </w:rPr>
        <w:t>Invoca's product, AI agents that turn conversations into revenue by orchestrating SMS and voice journeys off trustworthy first-party data, is close to what I already build for my own clients at Solenzo. I've architected a 20+-workflow automation system that captures, routes, qualifies, and books leads, and a digital-footprint scoring engine that personalizes outreach off real signal. I'd be bringing a smaller, proven version of the exact thing this role is meant to scale.</w:t>
      </w:r>
    </w:p>
    <w:p>
      <w:pPr>
        <w:spacing w:after="160"/>
      </w:pPr>
      <w:r>
        <w:rPr>
          <w:rFonts w:ascii="Calibri" w:hAnsi="Calibri"/>
          <w:b w:val="0"/>
          <w:color w:val="1A1A1A"/>
        </w:rPr>
        <w:t>I come in with hands-on experience across the stack this role touches: Salesforce, Salesloft, ZoomInfo, and Gong on the sales-engagement side, and Zapier, Make, and n8n on the automation layer, built as recently as this year and as far back as Accelo in 2018. I've also run point on the kind of unified, end-to-end ownership your Revenue Operations pillar describes; at Solenzo I own discovery, CRM architecture, lead flow, and reporting myself, one person accountable for the whole system rather than a single slice of it. At Wix, I drove a brand-new vertical from proof of concept to a profitable business line, real evidence of building process that holds up as an organization scales, not just a point-in-time fix.</w:t>
      </w:r>
    </w:p>
    <w:p>
      <w:pPr>
        <w:spacing w:after="160"/>
      </w:pPr>
      <w:r>
        <w:rPr>
          <w:rFonts w:ascii="Calibri" w:hAnsi="Calibri"/>
          <w:b w:val="0"/>
          <w:color w:val="1A1A1A"/>
        </w:rPr>
        <w:t>I'd welcome a conversation about where that maps to what Invoca needs next. I'm available at 303-726-5037 or jrotnbrg@gmail.com.</w:t>
      </w:r>
    </w:p>
    <w:p>
      <w:pPr>
        <w:spacing w:after="280"/>
      </w:pPr>
      <w:r>
        <w:rPr>
          <w:rFonts w:ascii="Calibri" w:hAnsi="Calibri"/>
          <w:b w:val="0"/>
          <w:color w:val="1A1A1A"/>
        </w:rPr>
        <w:t>Sincerely,</w:t>
      </w:r>
    </w:p>
    <w:p>
      <w:pPr>
        <w:spacing w:after="160"/>
      </w:pPr>
      <w:r>
        <w:rPr>
          <w:rFonts w:ascii="Calibri" w:hAnsi="Calibri"/>
          <w:b w:val="0"/>
          <w:color w:val="1A1A1A"/>
        </w:rPr>
        <w:t>Joshua Rotenberg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pPr>
    <w:rPr>
      <w:rFonts w:ascii="Calibri" w:hAnsi="Calibri" w:cs="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