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CRM Operations Specialist | CRM Ownership, Data Labeling &amp; Rubric-Based Evaluation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CRM and sales operations professional with 15+ years owning CRM systems end to end across HubSpot, Salesforce, GoHighLevel, and Accelo's own CRM/PSA platform. Personally builds and applies the rubric-based grading behind an AI-driven marketing system, including AI response configuration and the underlying data labeling, work that sits inside model-output evaluation rather than incidental AI tool use. Combines that with 15 years of CRM data integrity, sales-process optimization, and terminology fluency gained from configuring CRM, project-management, and ticketing systems for a wide range of businesses.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evaluate AI-generated response output for client automation systems, and build rubric-based grading criteria for the SEO audit process, scoring outputs against defined standards and performing the underlying data labeling personally.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including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marketing workflows into agent architectures with custom logic that scores a business's digital footprint and generates hyper-personalized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agent outputs and continuously optimize performance.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across GoHighLevel, HubSpot, and Notion, keeping project and process records auditable across concurrent engagements.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required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- a team of 20, later a team of 8 -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coordinated with the implementation team on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Sales Operations:  </w:t>
      </w:r>
      <w:r>
        <w:rPr>
          <w:rFonts w:ascii="Calibri" w:hAnsi="Calibri"/>
          <w:b w:val="0"/>
          <w:i w:val="0"/>
          <w:color w:val="1A1A1A"/>
        </w:rPr>
        <w:t>HubSpot, Salesforce, GoHighLevel, Accelo (CRM/PSA), Sales Process Optimization, Data Integrity &amp; Hygiene, Automation &amp; Workflow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Labeling &amp; Model Evaluation:  </w:t>
      </w:r>
      <w:r>
        <w:rPr>
          <w:rFonts w:ascii="Calibri" w:hAnsi="Calibri"/>
          <w:b w:val="0"/>
          <w:i w:val="0"/>
          <w:color w:val="1A1A1A"/>
        </w:rPr>
        <w:t>Rubric-Based Grading, AI Response Evaluation, Data Labeling &amp; Annotation, Agent Output Monitoring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Data &amp; Records:  </w:t>
      </w:r>
      <w:r>
        <w:rPr>
          <w:rFonts w:ascii="Calibri" w:hAnsi="Calibri"/>
          <w:b w:val="0"/>
          <w:i w:val="0"/>
          <w:color w:val="1A1A1A"/>
        </w:rPr>
        <w:t>Field Definition &amp; Standardization, Record Documentation, Process Mapping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Communication:  </w:t>
      </w:r>
      <w:r>
        <w:rPr>
          <w:rFonts w:ascii="Calibri" w:hAnsi="Calibri"/>
          <w:b w:val="0"/>
          <w:i w:val="0"/>
          <w:color w:val="1A1A1A"/>
        </w:rPr>
        <w:t>Written &amp; Verbal English, Stakeholder Documentation, Cross-Functional Feedback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