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Business Systems Analyst &amp; Requirements Liaison</w:t>
      </w:r>
    </w:p>
    <w:p>
      <w:pPr>
        <w:spacing w:after="80"/>
        <w:jc w:val="center"/>
      </w:pPr>
      <w:r>
        <w:rPr>
          <w:rFonts w:ascii="Calibri" w:hAnsi="Calibri"/>
          <w:b w:val="0"/>
          <w:i w:val="0"/>
          <w:color w:val="555555"/>
          <w:sz w:val="18"/>
        </w:rPr>
        <w:t>Arvada, CO (Remote)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Business analyst and requirements translator with 15+ years bridging business stakeholders and technical teams, turning ambiguous needs into structured specifications, technical configurations, and cross-functional feedback loops. Background spans direct requirements elicitation and translation into system logic on marketing automation platforms, stakeholder discovery workshops, and serving as the liaison between customers, product, and engineering to keep delivered work aligned with real intent.</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Translate non-technical stakeholders' generalized ideas and feedback into precise, structured AI prompts and agent instructions, acting as the bridge between business intent and reliable system output.</w:t>
      </w:r>
    </w:p>
    <w:p>
      <w:pPr>
        <w:spacing w:after="30"/>
        <w:ind w:left="259" w:hanging="259"/>
      </w:pPr>
      <w:r>
        <w:rPr>
          <w:rFonts w:ascii="Calibri" w:hAnsi="Calibri"/>
          <w:b w:val="0"/>
          <w:i w:val="0"/>
          <w:color w:val="163A5F"/>
        </w:rPr>
        <w:t xml:space="preserve">•  </w:t>
      </w:r>
      <w:r>
        <w:rPr>
          <w:rFonts w:ascii="Calibri" w:hAnsi="Calibri"/>
          <w:b w:val="0"/>
          <w:i w:val="0"/>
          <w:color w:val="1A1A1A"/>
        </w:rPr>
        <w:t>Own the primary strategic relationship for a portfolio of service-based businesses, running discovery and onboarding to surface client goals, objectives, and market challenges.</w:t>
      </w:r>
    </w:p>
    <w:p>
      <w:pPr>
        <w:spacing w:after="30"/>
        <w:ind w:left="259" w:hanging="259"/>
      </w:pPr>
      <w:r>
        <w:rPr>
          <w:rFonts w:ascii="Calibri" w:hAnsi="Calibri"/>
          <w:b w:val="0"/>
          <w:i w:val="0"/>
          <w:color w:val="163A5F"/>
        </w:rPr>
        <w:t xml:space="preserve">•  </w:t>
      </w:r>
      <w:r>
        <w:rPr>
          <w:rFonts w:ascii="Calibri" w:hAnsi="Calibri"/>
          <w:b w:val="0"/>
          <w:i w:val="0"/>
          <w:color w:val="1A1A1A"/>
        </w:rPr>
        <w:t>Lead end-to-end onboarding for new technology stacks, translating business requirements into technical configurations and providing hands-on training.</w:t>
      </w:r>
    </w:p>
    <w:p>
      <w:pPr>
        <w:spacing w:after="30"/>
        <w:ind w:left="259" w:hanging="259"/>
      </w:pPr>
      <w:r>
        <w:rPr>
          <w:rFonts w:ascii="Calibri" w:hAnsi="Calibri"/>
          <w:b w:val="0"/>
          <w:i w:val="0"/>
          <w:color w:val="163A5F"/>
        </w:rPr>
        <w:t xml:space="preserve">•  </w:t>
      </w:r>
      <w:r>
        <w:rPr>
          <w:rFonts w:ascii="Calibri" w:hAnsi="Calibri"/>
          <w:b w:val="0"/>
          <w:i w:val="0"/>
          <w:color w:val="1A1A1A"/>
        </w:rPr>
        <w:t>Break down manual marketing workflows into agent architectures with custom logic that scores a business's digital footprint and generates hyper-personalized outreach.</w:t>
      </w:r>
    </w:p>
    <w:p>
      <w:pPr>
        <w:spacing w:after="30"/>
        <w:ind w:left="259" w:hanging="259"/>
      </w:pPr>
      <w:r>
        <w:rPr>
          <w:rFonts w:ascii="Calibri" w:hAnsi="Calibri"/>
          <w:b w:val="0"/>
          <w:i w:val="0"/>
          <w:color w:val="163A5F"/>
        </w:rPr>
        <w:t xml:space="preserve">•  </w:t>
      </w:r>
      <w:r>
        <w:rPr>
          <w:rFonts w:ascii="Calibri" w:hAnsi="Calibri"/>
          <w:b w:val="0"/>
          <w:i w:val="0"/>
          <w:color w:val="1A1A1A"/>
        </w:rPr>
        <w:t>Design self-improving loops and evaluation frameworks to monitor agent outputs and continuously optimize conversion rates.</w:t>
      </w:r>
    </w:p>
    <w:p>
      <w:pPr>
        <w:spacing w:after="30"/>
        <w:ind w:left="259" w:hanging="259"/>
      </w:pPr>
      <w:r>
        <w:rPr>
          <w:rFonts w:ascii="Calibri" w:hAnsi="Calibri"/>
          <w:b w:val="0"/>
          <w:i w:val="0"/>
          <w:color w:val="163A5F"/>
        </w:rPr>
        <w:t xml:space="preserve">•  </w:t>
      </w:r>
      <w:r>
        <w:rPr>
          <w:rFonts w:ascii="Calibri" w:hAnsi="Calibri"/>
          <w:b w:val="0"/>
          <w:i w:val="0"/>
          <w:color w:val="1A1A1A"/>
        </w:rPr>
        <w:t>Document every client interaction, timeline, and deliverable in GoHighLevel, HubSpot, and Notion, keeping project records auditable across concurrent engagements.</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Managed multi-stakeholder accounts across marketing and technology channels, translating performance data into strategic recommendations.</w:t>
      </w:r>
    </w:p>
    <w:p>
      <w:pPr>
        <w:spacing w:after="30"/>
        <w:ind w:left="259" w:hanging="259"/>
      </w:pPr>
      <w:r>
        <w:rPr>
          <w:rFonts w:ascii="Calibri" w:hAnsi="Calibri"/>
          <w:b w:val="0"/>
          <w:i w:val="0"/>
          <w:color w:val="163A5F"/>
        </w:rPr>
        <w:t xml:space="preserve">•  </w:t>
      </w:r>
      <w:r>
        <w:rPr>
          <w:rFonts w:ascii="Calibri" w:hAnsi="Calibri"/>
          <w:b w:val="0"/>
          <w:i w:val="0"/>
          <w:color w:val="1A1A1A"/>
        </w:rPr>
        <w:t>Held delivery quality consistent across implementations, resolving client feedback promptly to protect satisfaction and retention.</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Collaborated with Product and Engineering to share structured, high-priority customer feedback informing the roadmap.</w:t>
      </w:r>
    </w:p>
    <w:p>
      <w:pPr>
        <w:spacing w:after="30"/>
        <w:ind w:left="259" w:hanging="259"/>
      </w:pPr>
      <w:r>
        <w:rPr>
          <w:rFonts w:ascii="Calibri" w:hAnsi="Calibri"/>
          <w:b w:val="0"/>
          <w:i w:val="0"/>
          <w:color w:val="163A5F"/>
        </w:rPr>
        <w:t xml:space="preserve">•  </w:t>
      </w:r>
      <w:r>
        <w:rPr>
          <w:rFonts w:ascii="Calibri" w:hAnsi="Calibri"/>
          <w:b w:val="0"/>
          <w:i w:val="0"/>
          <w:color w:val="1A1A1A"/>
        </w:rPr>
        <w:t>Guided customers through complex technical setup and configuration of reputation and marketing automation tools.</w:t>
      </w:r>
    </w:p>
    <w:p>
      <w:pPr>
        <w:spacing w:after="30"/>
        <w:ind w:left="259" w:hanging="259"/>
      </w:pPr>
      <w:r>
        <w:rPr>
          <w:rFonts w:ascii="Calibri" w:hAnsi="Calibri"/>
          <w:b w:val="0"/>
          <w:i w:val="0"/>
          <w:color w:val="163A5F"/>
        </w:rPr>
        <w:t xml:space="preserve">•  </w:t>
      </w:r>
      <w:r>
        <w:rPr>
          <w:rFonts w:ascii="Calibri" w:hAnsi="Calibri"/>
          <w:b w:val="0"/>
          <w:i w:val="0"/>
          <w:color w:val="1A1A1A"/>
        </w:rPr>
        <w:t>Analyzed partner utilization and performance metrics to identify adoption gaps and recommend interventions that reduced churn.</w:t>
      </w:r>
    </w:p>
    <w:p>
      <w:pPr>
        <w:spacing w:after="30"/>
        <w:ind w:left="259" w:hanging="259"/>
      </w:pPr>
      <w:r>
        <w:rPr>
          <w:rFonts w:ascii="Calibri" w:hAnsi="Calibri"/>
          <w:b w:val="0"/>
          <w:i w:val="0"/>
          <w:color w:val="163A5F"/>
        </w:rPr>
        <w:t xml:space="preserve">•  </w:t>
      </w:r>
      <w:r>
        <w:rPr>
          <w:rFonts w:ascii="Calibri" w:hAnsi="Calibri"/>
          <w:b w:val="0"/>
          <w:i w:val="0"/>
          <w:color w:val="1A1A1A"/>
        </w:rPr>
        <w:t>Developed scalable communication workflows and automated product-training sequences that reduced onboarding friction.</w:t>
      </w:r>
    </w:p>
    <w:p>
      <w:pPr>
        <w:spacing w:after="30"/>
        <w:ind w:left="259" w:hanging="259"/>
      </w:pPr>
      <w:r>
        <w:rPr>
          <w:rFonts w:ascii="Calibri" w:hAnsi="Calibri"/>
          <w:b w:val="0"/>
          <w:i w:val="0"/>
          <w:color w:val="163A5F"/>
        </w:rPr>
        <w:t xml:space="preserve">•  </w:t>
      </w:r>
      <w:r>
        <w:rPr>
          <w:rFonts w:ascii="Calibri" w:hAnsi="Calibri"/>
          <w:b w:val="0"/>
          <w:i w:val="0"/>
          <w:color w:val="1A1A1A"/>
        </w:rPr>
        <w:t>Onboarded and managed 15-20 reseller partners (deal sizes ~$10K-$45K, spanning health, home services, and retail verticals), retaining all but one (~94% retention) during tenure.</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Built and refined internal processes that improved reporting accuracy, reduced handoff errors, and strengthened cross-team alignment.</w:t>
      </w:r>
    </w:p>
    <w:p>
      <w:pPr>
        <w:spacing w:after="30"/>
        <w:ind w:left="259" w:hanging="259"/>
      </w:pPr>
      <w:r>
        <w:rPr>
          <w:rFonts w:ascii="Calibri" w:hAnsi="Calibri"/>
          <w:b w:val="0"/>
          <w:i w:val="0"/>
          <w:color w:val="163A5F"/>
        </w:rPr>
        <w:t xml:space="preserve">•  </w:t>
      </w:r>
      <w:r>
        <w:rPr>
          <w:rFonts w:ascii="Calibri" w:hAnsi="Calibri"/>
          <w:b w:val="0"/>
          <w:i w:val="0"/>
          <w:color w:val="1A1A1A"/>
        </w:rPr>
        <w:t>Ran client accounts end to end at a performance marketing agency, covering campaign execution, performance reporting, and cross-team communication, managing workflows and tasks in ClickUp.</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Labeled and defined the CRM fields required for outbound sales and onboarding workflows, standardizing data capture across the team.</w:t>
      </w:r>
    </w:p>
    <w:p>
      <w:pPr>
        <w:spacing w:after="30"/>
        <w:ind w:left="259" w:hanging="259"/>
      </w:pPr>
      <w:r>
        <w:rPr>
          <w:rFonts w:ascii="Calibri" w:hAnsi="Calibri"/>
          <w:b w:val="0"/>
          <w:i w:val="0"/>
          <w:color w:val="163A5F"/>
        </w:rPr>
        <w:t xml:space="preserve">•  </w:t>
      </w:r>
      <w:r>
        <w:rPr>
          <w:rFonts w:ascii="Calibri" w:hAnsi="Calibri"/>
          <w:b w:val="0"/>
          <w:i w:val="0"/>
          <w:color w:val="1A1A1A"/>
        </w:rPr>
        <w:t>Onboarded and launched 25+ clients per month, holding 120% of sales targets and 110% of implementation targets.</w:t>
      </w:r>
    </w:p>
    <w:p>
      <w:pPr>
        <w:spacing w:after="30"/>
        <w:ind w:left="259" w:hanging="259"/>
      </w:pPr>
      <w:r>
        <w:rPr>
          <w:rFonts w:ascii="Calibri" w:hAnsi="Calibri"/>
          <w:b w:val="0"/>
          <w:i w:val="0"/>
          <w:color w:val="163A5F"/>
        </w:rPr>
        <w:t xml:space="preserve">•  </w:t>
      </w:r>
      <w:r>
        <w:rPr>
          <w:rFonts w:ascii="Calibri" w:hAnsi="Calibri"/>
          <w:b w:val="0"/>
          <w:i w:val="0"/>
          <w:color w:val="1A1A1A"/>
        </w:rPr>
        <w:t>Directly managed and developed a team of onboarding specialists for 2 years - a team of 20, later a team of 8 - overseeing budgets, scope, and delivery for a high-value client portfolio.</w:t>
      </w:r>
    </w:p>
    <w:p>
      <w:pPr>
        <w:spacing w:after="30"/>
        <w:ind w:left="259" w:hanging="259"/>
      </w:pPr>
      <w:r>
        <w:rPr>
          <w:rFonts w:ascii="Calibri" w:hAnsi="Calibri"/>
          <w:b w:val="0"/>
          <w:i w:val="0"/>
          <w:color w:val="163A5F"/>
        </w:rPr>
        <w:t xml:space="preserve">•  </w:t>
      </w:r>
      <w:r>
        <w:rPr>
          <w:rFonts w:ascii="Calibri" w:hAnsi="Calibri"/>
          <w:b w:val="0"/>
          <w:i w:val="0"/>
          <w:color w:val="1A1A1A"/>
        </w:rPr>
        <w:t>Led digital growth consultations aligning site architecture, inbound marketing, and SEO best practices to improve client traffic and conversion.</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Built sequenced implementation plans for incoming clients, ranking which systems to change and in what order, and handed them to the implementation team to execute against.</w:t>
      </w:r>
    </w:p>
    <w:p>
      <w:pPr>
        <w:spacing w:after="30"/>
        <w:ind w:left="259" w:hanging="259"/>
      </w:pPr>
      <w:r>
        <w:rPr>
          <w:rFonts w:ascii="Calibri" w:hAnsi="Calibri"/>
          <w:b w:val="0"/>
          <w:i w:val="0"/>
          <w:color w:val="163A5F"/>
        </w:rPr>
        <w:t xml:space="preserve">•  </w:t>
      </w:r>
      <w:r>
        <w:rPr>
          <w:rFonts w:ascii="Calibri" w:hAnsi="Calibri"/>
          <w:b w:val="0"/>
          <w:i w:val="0"/>
          <w:color w:val="1A1A1A"/>
        </w:rPr>
        <w:t>Guided client onboarding, workflow design, and API integrations, building relationships with C-Suite executives as a trusted advisor on operational system design.</w:t>
      </w:r>
    </w:p>
    <w:p>
      <w:pPr>
        <w:spacing w:after="30"/>
        <w:ind w:left="259" w:hanging="259"/>
      </w:pPr>
      <w:r>
        <w:rPr>
          <w:rFonts w:ascii="Calibri" w:hAnsi="Calibri"/>
          <w:b w:val="0"/>
          <w:i w:val="0"/>
          <w:color w:val="163A5F"/>
        </w:rPr>
        <w:t xml:space="preserve">•  </w:t>
      </w:r>
      <w:r>
        <w:rPr>
          <w:rFonts w:ascii="Calibri" w:hAnsi="Calibri"/>
          <w:b w:val="0"/>
          <w:i w:val="0"/>
          <w:color w:val="1A1A1A"/>
        </w:rPr>
        <w:t>Guided onboarding alongside implementation teams, troubleshooting workflow design and resolving technical challenges during setup.</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Requirements &amp; Stakeholder Translation:  </w:t>
      </w:r>
      <w:r>
        <w:rPr>
          <w:rFonts w:ascii="Calibri" w:hAnsi="Calibri"/>
          <w:b w:val="0"/>
          <w:i w:val="0"/>
          <w:color w:val="1A1A1A"/>
        </w:rPr>
        <w:t>Requirements-to-Prompt Translation, Stakeholder Elicitation, Process Mapping, Workflow Decomposition</w:t>
      </w:r>
    </w:p>
    <w:p>
      <w:pPr>
        <w:spacing w:after="30"/>
      </w:pPr>
      <w:r>
        <w:rPr>
          <w:rFonts w:ascii="Calibri" w:hAnsi="Calibri"/>
          <w:b/>
          <w:i w:val="0"/>
          <w:color w:val="1A1A1A"/>
        </w:rPr>
        <w:t xml:space="preserve">Cross-Functional Collaboration:  </w:t>
      </w:r>
      <w:r>
        <w:rPr>
          <w:rFonts w:ascii="Calibri" w:hAnsi="Calibri"/>
          <w:b w:val="0"/>
          <w:i w:val="0"/>
          <w:color w:val="1A1A1A"/>
        </w:rPr>
        <w:t>Cross-Functional Coordination, Customer-Feedback-to-Roadmap Liaison, Technical Documentation, Training Delivery</w:t>
      </w:r>
    </w:p>
    <w:p>
      <w:pPr>
        <w:spacing w:after="30"/>
      </w:pPr>
      <w:r>
        <w:rPr>
          <w:rFonts w:ascii="Calibri" w:hAnsi="Calibri"/>
          <w:b/>
          <w:i w:val="0"/>
          <w:color w:val="1A1A1A"/>
        </w:rPr>
        <w:t xml:space="preserve">Systems &amp; Data:  </w:t>
      </w:r>
      <w:r>
        <w:rPr>
          <w:rFonts w:ascii="Calibri" w:hAnsi="Calibri"/>
          <w:b w:val="0"/>
          <w:i w:val="0"/>
          <w:color w:val="1A1A1A"/>
        </w:rPr>
        <w:t>CRM/System Configuration (GoHighLevel, HubSpot, Salesforce), Data Field Standardization, API Integration Guidance</w:t>
      </w:r>
    </w:p>
    <w:p>
      <w:pPr>
        <w:spacing w:after="30"/>
      </w:pPr>
      <w:r>
        <w:rPr>
          <w:rFonts w:ascii="Calibri" w:hAnsi="Calibri"/>
          <w:b/>
          <w:i w:val="0"/>
          <w:color w:val="1A1A1A"/>
        </w:rPr>
        <w:t xml:space="preserve">Analysis &amp; Evaluation:  </w:t>
      </w:r>
      <w:r>
        <w:rPr>
          <w:rFonts w:ascii="Calibri" w:hAnsi="Calibri"/>
          <w:b w:val="0"/>
          <w:i w:val="0"/>
          <w:color w:val="1A1A1A"/>
        </w:rPr>
        <w:t>Evaluation Framework Design, Rubric-Based Quality Scoring, Root-Cause / Full-Funnel Troubleshooting</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p>
      <w:pPr>
        <w:spacing w:before="140" w:after="60"/>
        <w:pBdr>
          <w:bottom w:val="single" w:sz="6" w:space="2" w:color="163a5f"/>
        </w:pBdr>
      </w:pPr>
      <w:r>
        <w:rPr>
          <w:rFonts w:ascii="Calibri" w:hAnsi="Calibri"/>
          <w:b/>
          <w:i w:val="0"/>
          <w:caps/>
          <w:color w:val="163A5F"/>
          <w:sz w:val="21"/>
        </w:rPr>
        <w:t>CERTIFICATIONS</w:t>
      </w:r>
    </w:p>
    <w:p>
      <w:pPr>
        <w:spacing w:after="30"/>
      </w:pPr>
      <w:r>
        <w:rPr>
          <w:rFonts w:ascii="Calibri" w:hAnsi="Calibri"/>
          <w:b w:val="0"/>
          <w:i w:val="0"/>
          <w:color w:val="1A1A1A"/>
        </w:rPr>
        <w:t>Google Digital Marketing &amp; E-Commerce Professional Certificate - Google/Coursera (2024)</w:t>
      </w:r>
    </w:p>
    <w:p>
      <w:pPr>
        <w:spacing w:after="30"/>
      </w:pPr>
      <w:r>
        <w:rPr>
          <w:rFonts w:ascii="Calibri" w:hAnsi="Calibri"/>
          <w:b w:val="0"/>
          <w:i w:val="0"/>
          <w:color w:val="1A1A1A"/>
        </w:rPr>
        <w:t>Meta Ads Certification - Meta</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