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Manager, Customer Marketing | Lifecycle Marketing, Retention &amp; Customer Onboarding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marketing and lifecycle-retention professional with 15+ years in B2B SaaS, including 2 years directly managing and developing a team of onboarding specialists (team of 20, later 8) at Wix. Designs and deploys automated lifecycle programs personally at Solenzo, onboarding nurture, win-back, and reactivation sequences built on defined customer segmentation and lifecycle-stage frameworks, and drove a 94% partner retention rate managing a reseller book at Birdeye. Comfortable owning both the strategy and the hands-on execution of programs that move customers from onboarding through renewal and expansion.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lifecycle sequences, onboarding workflows, and CRM architectures that activate, nurture, and retain high-value users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marketing-automation system, 20+ workflows spanning lead capture, qualification, appointment booking, no-show recovery, post-sale onboarding nurture, long-term nurture and reactivation, and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including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to their own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Took on team lead responsibilities for the sales team in addition to individual account management, continuing people-leadership responsibility carried over from Wix.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 and developing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Marketing &amp; Lifecycle:  </w:t>
      </w:r>
      <w:r>
        <w:rPr>
          <w:rFonts w:ascii="Calibri" w:hAnsi="Calibri"/>
          <w:b w:val="0"/>
          <w:i w:val="0"/>
          <w:color w:val="1A1A1A"/>
        </w:rPr>
        <w:t>Lifecycle Marketing (Onboarding, Nurture, Win-Back, Reactivation), Customer Segmentation &amp; Lifecycle-Stage Frameworks, Retention &amp; Expansion Strategy, Customer Health Metrics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Team Leadership:  </w:t>
      </w:r>
      <w:r>
        <w:rPr>
          <w:rFonts w:ascii="Calibri" w:hAnsi="Calibri"/>
          <w:b w:val="0"/>
          <w:i w:val="0"/>
          <w:color w:val="1A1A1A"/>
        </w:rPr>
        <w:t>People Management (Teams of 8-20), Hiring, Onboarding &amp; Training, Mentorship &amp; Coaching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Technology &amp; Automation:  </w:t>
      </w:r>
      <w:r>
        <w:rPr>
          <w:rFonts w:ascii="Calibri" w:hAnsi="Calibri"/>
          <w:b w:val="0"/>
          <w:i w:val="0"/>
          <w:color w:val="1A1A1A"/>
        </w:rPr>
        <w:t>GoHighLevel, HubSpot, Salesforce, Accelo (CRM/PSA), Marketo, Mailchimp, Marketing Automation Architecture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Campaign &amp; Program Performance Reporting, ROI / KPI Dashboards, QBRs &amp; Leadership Presentations, Data-Driven Recommendations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