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Rainwalk Technology</w:t>
      </w:r>
    </w:p>
    <w:p>
      <w:pPr>
        <w:spacing w:after="160"/>
      </w:pPr>
      <w:r>
        <w:rPr>
          <w:rFonts w:ascii="Calibri" w:hAnsi="Calibri"/>
          <w:b w:val="0"/>
          <w:color w:val="1A1A1A"/>
        </w:rPr>
        <w:t>Re: Marketing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Marketing Manager role. Partnership marketing is where I've spent real, hands-on time: at Birdeye I owned marketing for a network of 15 to 20 reseller and referral partners, retaining all but one, roughly 94 percent, by building the content toolkits and training materials that let partners sell the product clearly to their own customers. That's the same shape as what you're describing, a partner communicating your value to their end customer rather than you doing it directly, just with insurance distribution in place of software resale.</w:t>
      </w:r>
    </w:p>
    <w:p>
      <w:pPr>
        <w:spacing w:after="160"/>
      </w:pPr>
      <w:r>
        <w:rPr>
          <w:rFonts w:ascii="Calibri" w:hAnsi="Calibri"/>
          <w:b w:val="0"/>
          <w:color w:val="1A1A1A"/>
        </w:rPr>
        <w:t>On brand and messaging, I build the frameworks myself rather than briefing someone else to: tone-of-voice guidance, positioning against competitors, and the copy that carries it, at Solenzo now and across agency work at Level. I've also spent the work cross-functionally rather than in a marketing silo, coordinating with commercial and product stakeholders to keep a client's story consistent across channels.</w:t>
      </w:r>
    </w:p>
    <w:p>
      <w:pPr>
        <w:spacing w:after="160"/>
      </w:pPr>
      <w:r>
        <w:rPr>
          <w:rFonts w:ascii="Calibri" w:hAnsi="Calibri"/>
          <w:b w:val="0"/>
          <w:color w:val="1A1A1A"/>
        </w:rPr>
        <w:t>I'll be direct about the one real gap: I haven't worked in pet insurance or consumer insurance specifically. What I bring instead is the underlying skill your posting actually centers on, turning insight into practical, on-brand marketing action across a partner network, in a fast-moving, commercially driven environment.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