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Channel &amp; Partner Marketing Manager | Reseller Partnerships, GTM Enablement &amp; B2B Technical Sales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and account leader with direct reseller-partner management experience (15-20 partners, ~94% retention at Birdeye) plus 15+ years of B2B technical sales and GTM/campaign-building across SaaS and agency environments. Comfortable translating complex product capabilities into partner- and customer-facing messaging, and building the ROI reporting that shows which programs actually produce pipeline. Direct gaps worth naming: that partner-management tenure was 14 months, not 5+ years dedicated, and it was not the current role. No cybersecurity, DevSecOps, or Federal/Public Sector partner-ecosystem experience, and no MDF/co-marketing budget management specifically.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 and sales teams, producing consistent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 and execute full-lifecycle customer strategies spanning demand generation, sales CRM architecture, and customer success, demonstrating clear ROI and revenue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technical requirements, acting as the bridge between business intent and reliable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Channel Management:  </w:t>
      </w:r>
      <w:r>
        <w:rPr>
          <w:rFonts w:ascii="Calibri" w:hAnsi="Calibri"/>
          <w:b w:val="0"/>
          <w:i w:val="0"/>
          <w:color w:val="1A1A1A"/>
        </w:rPr>
        <w:t>Reseller Partner Management, Partner Onboarding &amp; Retention, Partner Health &amp; Utilization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&amp; Campaign Strategy:  </w:t>
      </w:r>
      <w:r>
        <w:rPr>
          <w:rFonts w:ascii="Calibri" w:hAnsi="Calibri"/>
          <w:b w:val="0"/>
          <w:i w:val="0"/>
          <w:color w:val="1A1A1A"/>
        </w:rPr>
        <w:t>Demand Generation, Campaign ROI Reporting, Joint Messaging &amp; Positioning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Enablement:  </w:t>
      </w:r>
      <w:r>
        <w:rPr>
          <w:rFonts w:ascii="Calibri" w:hAnsi="Calibri"/>
          <w:b w:val="0"/>
          <w:i w:val="0"/>
          <w:color w:val="1A1A1A"/>
        </w:rPr>
        <w:t>Salesforce, HubSpot, GoHighLevel, Pipeline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Technical-to-Business Translation:  </w:t>
      </w:r>
      <w:r>
        <w:rPr>
          <w:rFonts w:ascii="Calibri" w:hAnsi="Calibri"/>
          <w:b w:val="0"/>
          <w:i w:val="0"/>
          <w:color w:val="1A1A1A"/>
        </w:rPr>
        <w:t>C-Suite Advisory, Complex Product Messaging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