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Coordinator | Email Campaign Execution, Automation &amp; Marketing Operations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and CRM professional with 15+ years building and executing email campaigns, automation flows, segmentation, and A/B testing, most recently architecting 20+ live automation workflows on GoHighLevel and building email sequences and campaign assets at Level Agency. Comfortable managing multiple concurrent campaigns against deadlines with a technical, detail-first QA habit carried over from running SEO and structured-data audits. New ground, worth saying directly: no hands-on Klaviyo or Attentive experience specifically, no SMS-campaign execution, and no e-commerce/DTC brand experience, the platform and campaign-building fluency below transfers from GoHighLevel and HubSpot rather than the named tools.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capture/tagging/routing, lead qualification, appointment booking with confirmation and reminders, no-show recovery, post-sale onboarding nurture,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in GHL (website-visibility, missed-calls, and low-reviews campaigns) plus an automated prospect audit workflow that enrolled 180+ contacts.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Campaign Execution:  </w:t>
      </w:r>
      <w:r>
        <w:rPr>
          <w:rFonts w:ascii="Calibri" w:hAnsi="Calibri"/>
          <w:b w:val="0"/>
          <w:i w:val="0"/>
          <w:color w:val="1A1A1A"/>
        </w:rPr>
        <w:t>Email Marketing, A/B Testing, Personalization &amp; Dynamic Content,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CRM:  </w:t>
      </w:r>
      <w:r>
        <w:rPr>
          <w:rFonts w:ascii="Calibri" w:hAnsi="Calibri"/>
          <w:b w:val="0"/>
          <w:i w:val="0"/>
          <w:color w:val="1A1A1A"/>
        </w:rPr>
        <w:t>GoHighLevel, HubSpot, Workflow &amp; Flow Building, Audience Segmentation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&amp; QA Discipline:  </w:t>
      </w:r>
      <w:r>
        <w:rPr>
          <w:rFonts w:ascii="Calibri" w:hAnsi="Calibri"/>
          <w:b w:val="0"/>
          <w:i w:val="0"/>
          <w:color w:val="1A1A1A"/>
        </w:rPr>
        <w:t>Multi-Campaign Coordination, Technical QA (SEO / Structured Data Audits), Deadline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Analytics:  </w:t>
      </w:r>
      <w:r>
        <w:rPr>
          <w:rFonts w:ascii="Calibri" w:hAnsi="Calibri"/>
          <w:b w:val="0"/>
          <w:i w:val="0"/>
          <w:color w:val="1A1A1A"/>
        </w:rPr>
        <w:t>GA4, ROI / CAC / LTV Reporting, Campaign Performance Monitoring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