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Account Executive / Go-to-Market | Technical B2B Sales, AI Agent Demos &amp; GTM Strategy</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Technical B2B sales professional who also builds the product he'd be demoing. At Solenzo, personally architects AI agent workflows on no-code/low-code platforms, hands-on with APIs and automation logic, not just a sales pitch about AI but real, working systems built from scratch. 15+ years running full sales cycles for technical buyers and business stakeholders alike, building GTM playbooks and outbound strategy from zero, and feeding structured customer feedback back into product roadmaps. Deep AI/agentic fluency; voice-specific experience is new ground, worth saying directly.</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Break down manual marketing workflows into agent architectures with custom logic that scores a business's digital footprint and generates hyper-personalized outreach.</w:t>
      </w:r>
    </w:p>
    <w:p>
      <w:pPr>
        <w:spacing w:after="30"/>
        <w:ind w:left="259" w:hanging="259"/>
      </w:pPr>
      <w:r>
        <w:rPr>
          <w:rFonts w:ascii="Calibri" w:hAnsi="Calibri"/>
          <w:b w:val="0"/>
          <w:i w:val="0"/>
          <w:color w:val="163A5F"/>
        </w:rPr>
        <w:t xml:space="preserve">•  </w:t>
      </w:r>
      <w:r>
        <w:rPr>
          <w:rFonts w:ascii="Calibri" w:hAnsi="Calibri"/>
          <w:b w:val="0"/>
          <w:i w:val="0"/>
          <w:color w:val="1A1A1A"/>
        </w:rPr>
        <w:t>Architected and deployed a complete GoHighLevel marketing-automation system, 20+ workflows spanning lead capture/tagging/routing, lead qualification, appointment booking with confirmation and reminders, no-show recovery, post-sale onboarding nurture, and automated review-generation sequences.</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generalized ideas and feedback into precise, structured AI prompts and agent instructions, acting as the bridge between business intent and reliable output.</w:t>
      </w:r>
    </w:p>
    <w:p>
      <w:pPr>
        <w:spacing w:after="30"/>
        <w:ind w:left="259" w:hanging="259"/>
      </w:pPr>
      <w:r>
        <w:rPr>
          <w:rFonts w:ascii="Calibri" w:hAnsi="Calibri"/>
          <w:b w:val="0"/>
          <w:i w:val="0"/>
          <w:color w:val="163A5F"/>
        </w:rPr>
        <w:t xml:space="preserve">•  </w:t>
      </w:r>
      <w:r>
        <w:rPr>
          <w:rFonts w:ascii="Calibri" w:hAnsi="Calibri"/>
          <w:b w:val="0"/>
          <w:i w:val="0"/>
          <w:color w:val="1A1A1A"/>
        </w:rPr>
        <w:t>Design self-improving evaluation frameworks to monitor agent outputs and continuously optimize performance.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 clients, running discovery and onboarding to surface client goals, objectives, and challenges.</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executive leadership.</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during tenure, averaging ~$22K each (several exceeding $25K), roughly $130K+ in total bookings.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with deep fluency in sales enablement, contact management, and pipeline automation.</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coordinated with the implementation team on delivery.</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effectively the full tenure, holding that ranking while quota roughly doubled.</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sales for a loyalty and marketing automation platform targeting SMBs, high-volume prospecting, lead qualification, and customer acquisition.</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Technical B2B Sales:  </w:t>
      </w:r>
      <w:r>
        <w:rPr>
          <w:rFonts w:ascii="Calibri" w:hAnsi="Calibri"/>
          <w:b w:val="0"/>
          <w:i w:val="0"/>
          <w:color w:val="1A1A1A"/>
        </w:rPr>
        <w:t>Full Sales-Cycle Ownership, Technical Discovery, C-Suite &amp; Technical Buyer Relationships, Quota Attainment</w:t>
      </w:r>
    </w:p>
    <w:p>
      <w:pPr>
        <w:spacing w:after="30"/>
      </w:pPr>
      <w:r>
        <w:rPr>
          <w:rFonts w:ascii="Calibri" w:hAnsi="Calibri"/>
          <w:b/>
          <w:i w:val="0"/>
          <w:color w:val="1A1A1A"/>
        </w:rPr>
        <w:t xml:space="preserve">AI Agent Building &amp; Demos:  </w:t>
      </w:r>
      <w:r>
        <w:rPr>
          <w:rFonts w:ascii="Calibri" w:hAnsi="Calibri"/>
          <w:b w:val="0"/>
          <w:i w:val="0"/>
          <w:color w:val="1A1A1A"/>
        </w:rPr>
        <w:t>Hands-On API / No-Code Agent Architecture, Rapid Prototyping, Prompt Engineering, Agent Output Evaluation</w:t>
      </w:r>
    </w:p>
    <w:p>
      <w:pPr>
        <w:spacing w:after="30"/>
      </w:pPr>
      <w:r>
        <w:rPr>
          <w:rFonts w:ascii="Calibri" w:hAnsi="Calibri"/>
          <w:b/>
          <w:i w:val="0"/>
          <w:color w:val="1A1A1A"/>
        </w:rPr>
        <w:t xml:space="preserve">GTM Strategy:  </w:t>
      </w:r>
      <w:r>
        <w:rPr>
          <w:rFonts w:ascii="Calibri" w:hAnsi="Calibri"/>
          <w:b w:val="0"/>
          <w:i w:val="0"/>
          <w:color w:val="1A1A1A"/>
        </w:rPr>
        <w:t>Outbound Playbook Development, Messaging &amp; Positioning, New-Vertical Go-to-Market</w:t>
      </w:r>
    </w:p>
    <w:p>
      <w:pPr>
        <w:spacing w:after="30"/>
      </w:pPr>
      <w:r>
        <w:rPr>
          <w:rFonts w:ascii="Calibri" w:hAnsi="Calibri"/>
          <w:b/>
          <w:i w:val="0"/>
          <w:color w:val="1A1A1A"/>
        </w:rPr>
        <w:t xml:space="preserve">Customer &amp; Product Feedback:  </w:t>
      </w:r>
      <w:r>
        <w:rPr>
          <w:rFonts w:ascii="Calibri" w:hAnsi="Calibri"/>
          <w:b w:val="0"/>
          <w:i w:val="0"/>
          <w:color w:val="1A1A1A"/>
        </w:rPr>
        <w:t>Voice-of-Customer to Product, CRM Pipeline Discipline, Revenue Forecasting</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