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color w:val="1A1A1A"/>
          <w:sz w:val="36"/>
        </w:rPr>
        <w:t>Joshua Rotenberg</w:t>
      </w:r>
    </w:p>
    <w:p>
      <w:pPr>
        <w:spacing w:after="200"/>
        <w:jc w:val="center"/>
      </w:pPr>
      <w:r>
        <w:rPr>
          <w:rFonts w:ascii="Times New Roman" w:hAnsi="Times New Roman"/>
          <w:b w:val="0"/>
          <w:color w:val="555555"/>
          <w:sz w:val="18"/>
        </w:rPr>
        <w:t>Arvada, CO  •  303-726-5037  •  jrotnbrg@gmail.com  •  linkedin.com/in/joshua-rotenberg</w:t>
      </w:r>
    </w:p>
    <w:p>
      <w:pPr>
        <w:spacing w:after="120"/>
      </w:pPr>
      <w:r>
        <w:rPr>
          <w:rFonts w:ascii="Times New Roman" w:hAnsi="Times New Roman"/>
          <w:b w:val="0"/>
          <w:color w:val="1A1A1A"/>
        </w:rPr>
        <w:t>September 17, 2026</w:t>
      </w:r>
    </w:p>
    <w:p>
      <w:pPr>
        <w:spacing w:after="20"/>
      </w:pPr>
      <w:r>
        <w:rPr>
          <w:rFonts w:ascii="Times New Roman" w:hAnsi="Times New Roman"/>
          <w:b/>
          <w:color w:val="1A1A1A"/>
        </w:rPr>
        <w:t>Xometry</w:t>
      </w:r>
    </w:p>
    <w:p>
      <w:pPr>
        <w:spacing w:after="160"/>
      </w:pPr>
      <w:r>
        <w:rPr>
          <w:rFonts w:ascii="Times New Roman" w:hAnsi="Times New Roman"/>
          <w:b w:val="0"/>
          <w:color w:val="1A1A1A"/>
        </w:rPr>
        <w:t>Re: Partner Success Manager III</w:t>
      </w:r>
    </w:p>
    <w:p>
      <w:pPr>
        <w:spacing w:after="160"/>
      </w:pPr>
      <w:r>
        <w:rPr>
          <w:rFonts w:ascii="Times New Roman" w:hAnsi="Times New Roman"/>
          <w:b w:val="0"/>
          <w:color w:val="1A1A1A"/>
        </w:rPr>
        <w:t>Dear Hiring Team,</w:t>
      </w:r>
    </w:p>
    <w:p>
      <w:pPr>
        <w:spacing w:after="160"/>
      </w:pPr>
      <w:r>
        <w:rPr>
          <w:rFonts w:ascii="Times New Roman" w:hAnsi="Times New Roman"/>
          <w:b w:val="0"/>
          <w:color w:val="1A1A1A"/>
        </w:rPr>
        <w:t>The Partner Success Manager III role caught my attention because the job description matches what I already do: keep a portfolio of external partners moving by staying ahead of the requests that would otherwise sit in a queue and turn into a production or renewal problem. At Birdeye I ran that exact model for a network of 15 to 20 reseller partners, and it is the same discipline Xometry needs applied to manufacturing capacity instead of marketing services.</w:t>
      </w:r>
    </w:p>
    <w:p>
      <w:pPr>
        <w:spacing w:after="160"/>
      </w:pPr>
      <w:r>
        <w:rPr>
          <w:rFonts w:ascii="Times New Roman" w:hAnsi="Times New Roman"/>
          <w:b w:val="0"/>
          <w:color w:val="1A1A1A"/>
        </w:rPr>
        <w:t>I managed that Birdeye partner book as primary point of contact, evaluating account health and escalating real risk to leadership before it became churn, and retained all but one partner (roughly 94%) during my tenure. At Accelo I built sequenced implementation plans for incoming clients, ranking which systems to change first and handing that plan to the implementation team, the same prioritization work this role calls orchestrating task completion through the order life cycle. At Wix I onboarded and launched 25+ clients a month against a continuous intake queue while holding 120% of sales and 110% of implementation targets, so a high-volume, deadline-driven queue is familiar ground.</w:t>
      </w:r>
    </w:p>
    <w:p>
      <w:pPr>
        <w:spacing w:after="160"/>
      </w:pPr>
      <w:r>
        <w:rPr>
          <w:rFonts w:ascii="Times New Roman" w:hAnsi="Times New Roman"/>
          <w:b w:val="0"/>
          <w:color w:val="1A1A1A"/>
        </w:rPr>
        <w:t>I don't come from a manufacturing background, but the actual job, being the accountable second line of defense for a partner community and keeping requests from stalling, is one I have run for over a decade across SaaS, agency, and channel-partner environments. I'd welcome the chance to talk through how that translates to Xometry's partner network.</w:t>
      </w:r>
    </w:p>
    <w:p>
      <w:pPr>
        <w:spacing w:after="280"/>
      </w:pPr>
      <w:r>
        <w:rPr>
          <w:rFonts w:ascii="Times New Roman" w:hAnsi="Times New Roman"/>
          <w:b w:val="0"/>
          <w:color w:val="1A1A1A"/>
        </w:rPr>
        <w:t>Sincerely,</w:t>
      </w:r>
    </w:p>
    <w:p>
      <w:pPr>
        <w:spacing w:after="160"/>
      </w:pPr>
      <w:r>
        <w:rPr>
          <w:rFonts w:ascii="Times New Roman" w:hAnsi="Times New Roman"/>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Times New Roman" w:hAnsi="Times New Roman" w:cs="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