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Digital Experience &amp; AI Strategy Leader | MarTech Platform Architecture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technology and AI strategy leader with 15+ years managing digital platforms and martech ecosystems for B2B SaaS, including hands-on architecture of AI-driven automation, experimentation, and personalization systems. Builds the same thing this role asks for using GoHighLevel, HubSpot, and Salesforce rather than Optimizely: a structured, prioritized roadmap that turns AI use cases into scaled, high-converting digital experiences, backed by a track record of mastering new platforms fast.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AI-driven marketing automation systems for service-based businesses (primarily GoHighLevel),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website built at Solenzo, and guided clients through GTM setup at Wix.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LLM output.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(landing pages, complex email sequences, conversion-focused copy) that improved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Strategy &amp; Marketing Technology:  </w:t>
      </w:r>
      <w:r>
        <w:rPr>
          <w:rFonts w:ascii="Calibri" w:hAnsi="Calibri"/>
          <w:b w:val="0"/>
          <w:i w:val="0"/>
          <w:color w:val="1A1A1A"/>
        </w:rPr>
        <w:t>AI Use Case Discovery &amp; Prioritization, Agentic Workflow Design, AI-Driven Personalization, Automation Architecture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Digital Platform &amp; Web Technology:  </w:t>
      </w:r>
      <w:r>
        <w:rPr>
          <w:rFonts w:ascii="Calibri" w:hAnsi="Calibri"/>
          <w:b w:val="0"/>
          <w:i w:val="0"/>
          <w:color w:val="1A1A1A"/>
        </w:rPr>
        <w:t>Google Tag Manager, Web Analytics (GA4), CMS/CRM Configuration, Technical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Experimentation &amp; Optimization:  </w:t>
      </w:r>
      <w:r>
        <w:rPr>
          <w:rFonts w:ascii="Calibri" w:hAnsi="Calibri"/>
          <w:b w:val="0"/>
          <w:i w:val="0"/>
          <w:color w:val="1A1A1A"/>
        </w:rPr>
        <w:t>CRO Testing Frameworks, Conversion Rate Optimization, Performance Reporting &amp; ROI Tracking, Data-Driven Iteration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Stakeholder Leadership:  </w:t>
      </w:r>
      <w:r>
        <w:rPr>
          <w:rFonts w:ascii="Calibri" w:hAnsi="Calibri"/>
          <w:b w:val="0"/>
          <w:i w:val="0"/>
          <w:color w:val="1A1A1A"/>
        </w:rPr>
        <w:t>Cross-Functional Roadmapping, Executive &amp; Stakeholder Communication, Change Management &amp; Enablement, CRM (Salesforce, HubSpot, GoHighLevel)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