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A1A1A"/>
          <w:sz w:val="36"/>
        </w:rPr>
        <w:t>Joshua Aaron Rotenberg</w:t>
      </w:r>
    </w:p>
    <w:p>
      <w:pPr>
        <w:spacing w:after="200"/>
        <w:jc w:val="center"/>
      </w:pPr>
      <w:r>
        <w:rPr>
          <w:rFonts w:ascii="Times New Roman" w:hAnsi="Times New Roman"/>
          <w:b w:val="0"/>
          <w:color w:val="555555"/>
          <w:sz w:val="18"/>
        </w:rPr>
        <w:t>Arvada, CO  •  303-726-5037  •  jrotnbrg@gmail.com  •  linkedin.com/in/joshua-rotenberg</w:t>
      </w:r>
    </w:p>
    <w:p>
      <w:pPr>
        <w:spacing w:after="120"/>
      </w:pPr>
      <w:r>
        <w:rPr>
          <w:rFonts w:ascii="Times New Roman" w:hAnsi="Times New Roman"/>
          <w:b w:val="0"/>
          <w:color w:val="1A1A1A"/>
        </w:rPr>
        <w:t>September 15, 2026</w:t>
      </w:r>
    </w:p>
    <w:p>
      <w:pPr>
        <w:spacing w:after="20"/>
      </w:pPr>
      <w:r>
        <w:rPr>
          <w:rFonts w:ascii="Times New Roman" w:hAnsi="Times New Roman"/>
          <w:b/>
          <w:color w:val="1A1A1A"/>
        </w:rPr>
        <w:t>Alnylam Pharmaceuticals</w:t>
      </w:r>
    </w:p>
    <w:p>
      <w:pPr>
        <w:spacing w:after="160"/>
      </w:pPr>
      <w:r>
        <w:rPr>
          <w:rFonts w:ascii="Times New Roman" w:hAnsi="Times New Roman"/>
          <w:b w:val="0"/>
          <w:color w:val="1A1A1A"/>
        </w:rPr>
        <w:t>Re: Associate Case Manager</w:t>
      </w:r>
    </w:p>
    <w:p>
      <w:pPr>
        <w:spacing w:after="160"/>
      </w:pPr>
      <w:r>
        <w:rPr>
          <w:rFonts w:ascii="Times New Roman" w:hAnsi="Times New Roman"/>
          <w:b w:val="0"/>
          <w:color w:val="1A1A1A"/>
        </w:rPr>
        <w:t>Dear Hiring Team,</w:t>
      </w:r>
    </w:p>
    <w:p>
      <w:pPr>
        <w:spacing w:after="160"/>
      </w:pPr>
      <w:r>
        <w:rPr>
          <w:rFonts w:ascii="Times New Roman" w:hAnsi="Times New Roman"/>
          <w:b w:val="0"/>
          <w:color w:val="1A1A1A"/>
        </w:rPr>
        <w:t>Over the past eight years, a chronic condition requiring multiple injections and two procedures has put me in direct contact with the insurance system more often than I'd like. I've personally fought for approvals on everything from physical therapy appointments to MRIs, which means I understand the prior authorization and appeals process from the patient's side, not as an abstraction but as something I've lived through repeatedly. That's exactly the work this role does for Alnylam's patients, and it's why the Associate Case Manager posting stood out to me.</w:t>
      </w:r>
    </w:p>
    <w:p>
      <w:pPr>
        <w:spacing w:after="160"/>
      </w:pPr>
      <w:r>
        <w:rPr>
          <w:rFonts w:ascii="Times New Roman" w:hAnsi="Times New Roman"/>
          <w:b w:val="0"/>
          <w:color w:val="1A1A1A"/>
        </w:rPr>
        <w:t>Professionally, I bring fifteen years of managing high-volume, detail-critical caseloads for individual clients: at Wix I onboarded 25+ clients a month while holding sales and implementation targets above 100%, and at Solenzo I run concurrent client engagements today, keeping every interaction, timeline, and deliverable documented and current across CRM systems with strict data-hygiene discipline. That's the same rigor a fax queue, a payer call, and an accurate record demand. I want to be upfront that my hands-on payer experience is from the patient side, not a prior professional case-management role, and I don't have Medicare/Medicaid-specific or medical billing/coding background. I learn fast and I'm used to picking up a new domain's specifics on the job.</w:t>
      </w:r>
    </w:p>
    <w:p>
      <w:pPr>
        <w:spacing w:after="160"/>
      </w:pPr>
      <w:r>
        <w:rPr>
          <w:rFonts w:ascii="Times New Roman" w:hAnsi="Times New Roman"/>
          <w:b w:val="0"/>
          <w:color w:val="1A1A1A"/>
        </w:rPr>
        <w:t>I'd welcome the chance to talk about how that combination, real operational discipline plus firsthand knowledge of what a patient needs from the other end of that phone call, could work for your Patient Services team.</w:t>
      </w:r>
    </w:p>
    <w:p>
      <w:pPr>
        <w:spacing w:after="280"/>
      </w:pPr>
      <w:r>
        <w:rPr>
          <w:rFonts w:ascii="Times New Roman" w:hAnsi="Times New Roman"/>
          <w:b w:val="0"/>
          <w:color w:val="1A1A1A"/>
        </w:rPr>
        <w:t>Sincerely,</w:t>
      </w:r>
    </w:p>
    <w:p>
      <w:pPr>
        <w:spacing w:after="160"/>
      </w:pPr>
      <w:r>
        <w:rPr>
          <w:rFonts w:ascii="Times New Roman" w:hAnsi="Times New Roman"/>
          <w:b w:val="0"/>
          <w:color w:val="1A1A1A"/>
        </w:rPr>
        <w:t>Joshua Aaron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cs="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