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Manager | Executive Relationships, Retention &amp; Healthcare-Adjacent B2B SaaS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and account management professional with 15+ years in B2B SaaS, building trusted executive relationships, driving product adoption, and managing retention across a book of accounts. Channel sales experience at Birdeye included agencies serving healthcare clients, genuine B2B exposure to how healthcare organizations buy and adopt technology. Owns the full customer lifecycle, onboarding, adoption, business reviews, and renewal, backed by 94% partner retention at Birdeye and 120% of sales targets at Wix.</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retainer scope, recommending and scoping complementary services aligned with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Sold and onboarded partners including agencies focused on healthcare clients, applying B2B channel-sales experience to the healthcare vertical alongside home services and retail.</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and customer health metrics, equipping them to communicate product value to their own end customers.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 across paid media and creative.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launch operations as team lead and primary strategic contact, delivering launches on time and accelerating time-to-value.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after="30"/>
        <w:ind w:left="259" w:hanging="259"/>
      </w:pPr>
      <w:r>
        <w:rPr>
          <w:rFonts w:ascii="Calibri" w:hAnsi="Calibri"/>
          <w:b w:val="0"/>
          <w:i w:val="0"/>
          <w:color w:val="163A5F"/>
        </w:rPr>
        <w:t xml:space="preserve">•  </w:t>
      </w:r>
      <w:r>
        <w:rPr>
          <w:rFonts w:ascii="Calibri" w:hAnsi="Calibri"/>
          <w:b w:val="0"/>
          <w:i w:val="0"/>
          <w:color w:val="1A1A1A"/>
        </w:rPr>
        <w:t>Consistently performed above commission floor into accelerator (doubling) tiers, averaging ~$17,750/month in implementation and services bookings (~$213K annualized) plus new recurring revenue.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&amp; Account Management:  </w:t>
      </w:r>
      <w:r>
        <w:rPr>
          <w:rFonts w:ascii="Calibri" w:hAnsi="Calibri"/>
          <w:b w:val="0"/>
          <w:i w:val="0"/>
          <w:color w:val="1A1A1A"/>
        </w:rPr>
        <w:t>Executive Relationship Building (C-Suite), Business Reviews &amp; Performance Reporting, Customer Health Metrics &amp; Retention Strategy, Renewal &amp; Quota Attainment</w:t>
      </w:r>
    </w:p>
    <w:p>
      <w:pPr>
        <w:spacing w:after="30"/>
      </w:pPr>
      <w:r>
        <w:rPr>
          <w:rFonts w:ascii="Calibri" w:hAnsi="Calibri"/>
          <w:b/>
          <w:i w:val="0"/>
          <w:color w:val="1A1A1A"/>
        </w:rPr>
        <w:t xml:space="preserve">Risk &amp; Escalation Management:  </w:t>
      </w:r>
      <w:r>
        <w:rPr>
          <w:rFonts w:ascii="Calibri" w:hAnsi="Calibri"/>
          <w:b w:val="0"/>
          <w:i w:val="0"/>
          <w:color w:val="1A1A1A"/>
        </w:rPr>
        <w:t>Issue Escalation &amp; Resolution, Adoption Gap Analysis, Cross-Functional Collaboration (Product, Engineering)</w:t>
      </w:r>
    </w:p>
    <w:p>
      <w:pPr>
        <w:spacing w:after="30"/>
      </w:pPr>
      <w:r>
        <w:rPr>
          <w:rFonts w:ascii="Calibri" w:hAnsi="Calibri"/>
          <w:b/>
          <w:i w:val="0"/>
          <w:color w:val="1A1A1A"/>
        </w:rPr>
        <w:t xml:space="preserve">Industry Experience:  </w:t>
      </w:r>
      <w:r>
        <w:rPr>
          <w:rFonts w:ascii="Calibri" w:hAnsi="Calibri"/>
          <w:b w:val="0"/>
          <w:i w:val="0"/>
          <w:color w:val="1A1A1A"/>
        </w:rPr>
        <w:t>B2B Channel Sales to Healthcare-Focused Agencies, Multi-Vertical Account Management</w:t>
      </w:r>
    </w:p>
    <w:p>
      <w:pPr>
        <w:spacing w:after="30"/>
      </w:pPr>
      <w:r>
        <w:rPr>
          <w:rFonts w:ascii="Calibri" w:hAnsi="Calibri"/>
          <w:b/>
          <w:i w:val="0"/>
          <w:color w:val="1A1A1A"/>
        </w:rPr>
        <w:t xml:space="preserve">CRM &amp; Systems:  </w:t>
      </w:r>
      <w:r>
        <w:rPr>
          <w:rFonts w:ascii="Calibri" w:hAnsi="Calibri"/>
          <w:b w:val="0"/>
          <w:i w:val="0"/>
          <w:color w:val="1A1A1A"/>
        </w:rPr>
        <w:t>Salesforce, HubSpot, GoHighLevel, Accelo (CRM/PSA)</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