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Growth Partnerships &amp; Digital Marketing | Partner Programs, Content &amp; Performance</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Growth and partnerships marketer with 15+ years building partner programs, content, and the reporting that proves what they return. Recruited, onboarded, and retained a 15-20 partner network at Birdeye with roughly 94% retention, building the training materials and communication workflows that made partners productive. Writes the thought leadership, direct-response copy, and campaign narratives himself, and builds the dashboards that tie engagement and conversion back to revenue. Denver metro based, with early operating experience building compliance systems from scratch in a highly regulated startup.</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and educational guides, translating complex operational concepts into audience-focused narratives for B2B readers.</w:t>
      </w:r>
    </w:p>
    <w:p>
      <w:pPr>
        <w:spacing w:after="30"/>
        <w:ind w:left="259" w:hanging="259"/>
      </w:pPr>
      <w:r>
        <w:rPr>
          <w:rFonts w:ascii="Calibri" w:hAnsi="Calibri"/>
          <w:b w:val="0"/>
          <w:i w:val="0"/>
          <w:color w:val="163A5F"/>
        </w:rPr>
        <w:t xml:space="preserve">•  </w:t>
      </w:r>
      <w:r>
        <w:rPr>
          <w:rFonts w:ascii="Calibri" w:hAnsi="Calibri"/>
          <w:b w:val="0"/>
          <w:i w:val="0"/>
          <w:color w:val="1A1A1A"/>
        </w:rPr>
        <w:t>Draft direct-response copy, outreach sequences, and landing pages, and build reusable on-brand asset templates adapted per brand and vertical rather than rebuilt each time.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engagement, funnel progression, conversion, and campaign ROI, reporting results and recommendations to owner-level stakeholders on a regular cadence.</w:t>
      </w:r>
    </w:p>
    <w:p>
      <w:pPr>
        <w:spacing w:after="30"/>
        <w:ind w:left="259" w:hanging="259"/>
      </w:pPr>
      <w:r>
        <w:rPr>
          <w:rFonts w:ascii="Calibri" w:hAnsi="Calibri"/>
          <w:b w:val="0"/>
          <w:i w:val="0"/>
          <w:color w:val="163A5F"/>
        </w:rPr>
        <w:t xml:space="preserve">•  </w:t>
      </w:r>
      <w:r>
        <w:rPr>
          <w:rFonts w:ascii="Calibri" w:hAnsi="Calibri"/>
          <w:b w:val="0"/>
          <w:i w:val="0"/>
          <w:color w:val="1A1A1A"/>
        </w:rPr>
        <w:t>Negotiate and scope expanded engagements inside an existing client base, structuring agreements aligned to each client's growth objectives.</w:t>
      </w:r>
    </w:p>
    <w:p>
      <w:pPr>
        <w:spacing w:after="30"/>
        <w:ind w:left="259" w:hanging="259"/>
      </w:pPr>
      <w:r>
        <w:rPr>
          <w:rFonts w:ascii="Calibri" w:hAnsi="Calibri"/>
          <w:b w:val="0"/>
          <w:i w:val="0"/>
          <w:color w:val="163A5F"/>
        </w:rPr>
        <w:t xml:space="preserve">•  </w:t>
      </w:r>
      <w:r>
        <w:rPr>
          <w:rFonts w:ascii="Calibri" w:hAnsi="Calibri"/>
          <w:b w:val="0"/>
          <w:i w:val="0"/>
          <w:color w:val="1A1A1A"/>
        </w:rPr>
        <w:t>Build AI-driven systems that score a company's digital footprint and trigger personalized outreach, including an audit workflow that enrolled 180+ contacts.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marketing strategy across paid media, inbound, and content, coordinating execution across internal departments so channels reinforced one campaign.</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frameworks tracking ROI, CAC, LTV, and conversion KPIs, delivering recommendations and quarterly business reviews to client leadership.</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including landing pages, multi-touch email sequences, and conversion-focused copy.</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a network of 15-20 reseller partners across health, home services, and retail verticals (deal sizes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Built partner communication workflows, content toolkits, and automated product-training sequences that reduced onboarding friction and accelerated partner activation.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 to their own audiences.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identify engagement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Drove rapid adoption of marketing automation and reputation management software across a diverse, high-volume partner network.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campaign execution, performance reporting, and cross-team communication.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a team of 20 and later a team of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Managed an e-commerce and multi-vertical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for a brand-new Wix vertical that went from proof of concept to a profitable business line, contributing to hiring, training, and sales training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all but the final months of tenure, sustained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Built C-suite relationships as a trusted advisor, negotiating and scoping complex software agreements with agencies and professional-services firms.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 loyalty and marketing automation platform targeting SMBs, covering high-volume prospecting, qualification, and customer acquisition.</w:t>
      </w:r>
    </w:p>
    <w:p>
      <w:pPr>
        <w:tabs>
          <w:tab w:pos="10512" w:val="right"/>
        </w:tabs>
        <w:spacing w:before="80" w:after="20"/>
      </w:pPr>
      <w:r>
        <w:rPr>
          <w:rFonts w:ascii="Calibri" w:hAnsi="Calibri"/>
          <w:b/>
          <w:i w:val="0"/>
          <w:color w:val="1A1A1A"/>
          <w:sz w:val="21"/>
        </w:rPr>
        <w:t>Business Development Representative</w:t>
      </w:r>
      <w:r>
        <w:rPr>
          <w:rFonts w:ascii="Calibri" w:hAnsi="Calibri"/>
          <w:b w:val="0"/>
          <w:i w:val="0"/>
          <w:color w:val="163A5F"/>
          <w:sz w:val="21"/>
        </w:rPr>
        <w:t xml:space="preserve">  |  Senior Directory</w:t>
      </w:r>
      <w:r>
        <w:rPr>
          <w:rFonts w:ascii="Calibri" w:hAnsi="Calibri"/>
          <w:b w:val="0"/>
          <w:i w:val="0"/>
          <w:color w:val="555555"/>
          <w:sz w:val="18"/>
        </w:rPr>
        <w:tab/>
        <w:t>2012 - 2016</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Prospected and qualified leads, booking appointments for regional sales representatives and maintaining a steady flow of sales-ready meetings.</w:t>
      </w:r>
    </w:p>
    <w:p>
      <w:pPr>
        <w:tabs>
          <w:tab w:pos="10512" w:val="right"/>
        </w:tabs>
        <w:spacing w:before="80" w:after="20"/>
      </w:pPr>
      <w:r>
        <w:rPr>
          <w:rFonts w:ascii="Calibri" w:hAnsi="Calibri"/>
          <w:b/>
          <w:i w:val="0"/>
          <w:color w:val="1A1A1A"/>
          <w:sz w:val="21"/>
        </w:rPr>
        <w:t>Co-Owner / Operations Lead</w:t>
      </w:r>
      <w:r>
        <w:rPr>
          <w:rFonts w:ascii="Calibri" w:hAnsi="Calibri"/>
          <w:b w:val="0"/>
          <w:i w:val="0"/>
          <w:color w:val="163A5F"/>
          <w:sz w:val="21"/>
        </w:rPr>
        <w:t xml:space="preserve">  |  Standing Akimbo</w:t>
      </w:r>
      <w:r>
        <w:rPr>
          <w:rFonts w:ascii="Calibri" w:hAnsi="Calibri"/>
          <w:b w:val="0"/>
          <w:i w:val="0"/>
          <w:color w:val="555555"/>
          <w:sz w:val="18"/>
        </w:rPr>
        <w:tab/>
        <w:t>Jun 2010 - Sep 2012</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compliance and customer-management systems from scratch in a highly regulated startup environment, scaling the business to profitability.</w:t>
      </w:r>
    </w:p>
    <w:p>
      <w:pPr>
        <w:spacing w:after="30"/>
        <w:ind w:left="259" w:hanging="259"/>
      </w:pPr>
      <w:r>
        <w:rPr>
          <w:rFonts w:ascii="Calibri" w:hAnsi="Calibri"/>
          <w:b w:val="0"/>
          <w:i w:val="0"/>
          <w:color w:val="163A5F"/>
        </w:rPr>
        <w:t xml:space="preserve">•  </w:t>
      </w:r>
      <w:r>
        <w:rPr>
          <w:rFonts w:ascii="Calibri" w:hAnsi="Calibri"/>
          <w:b w:val="0"/>
          <w:i w:val="0"/>
          <w:color w:val="1A1A1A"/>
        </w:rPr>
        <w:t>Developed early operational infrastructure, intake processes, and reporting systems, plus customer service, vendor, and supplier workflows.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Partnerships &amp; Program Management:  </w:t>
      </w:r>
      <w:r>
        <w:rPr>
          <w:rFonts w:ascii="Calibri" w:hAnsi="Calibri"/>
          <w:b w:val="0"/>
          <w:i w:val="0"/>
          <w:color w:val="1A1A1A"/>
        </w:rPr>
        <w:t>Partner Recruitment &amp; Onboarding, Partner Activation &amp; Retention, Partner Enablement &amp; Training Materials, Content Toolkits, Agreement Negotiation, Vendor &amp; Agency Management, Program Budget Oversight</w:t>
      </w:r>
    </w:p>
    <w:p>
      <w:pPr>
        <w:spacing w:after="30"/>
      </w:pPr>
      <w:r>
        <w:rPr>
          <w:rFonts w:ascii="Calibri" w:hAnsi="Calibri"/>
          <w:b/>
          <w:i w:val="0"/>
          <w:color w:val="1A1A1A"/>
        </w:rPr>
        <w:t xml:space="preserve">Content &amp; Storytelling:  </w:t>
      </w:r>
      <w:r>
        <w:rPr>
          <w:rFonts w:ascii="Calibri" w:hAnsi="Calibri"/>
          <w:b w:val="0"/>
          <w:i w:val="0"/>
          <w:color w:val="1A1A1A"/>
        </w:rPr>
        <w:t>Thought Leadership, Newsletters &amp; Educational Guides, Direct-Response Copy, Content Frameworks, Brand Voice, Technical Translation, Executive-Level Presentations</w:t>
      </w:r>
    </w:p>
    <w:p>
      <w:pPr>
        <w:spacing w:after="30"/>
      </w:pPr>
      <w:r>
        <w:rPr>
          <w:rFonts w:ascii="Calibri" w:hAnsi="Calibri"/>
          <w:b/>
          <w:i w:val="0"/>
          <w:color w:val="1A1A1A"/>
        </w:rPr>
        <w:t xml:space="preserve">Growth &amp; Performance:  </w:t>
      </w:r>
      <w:r>
        <w:rPr>
          <w:rFonts w:ascii="Calibri" w:hAnsi="Calibri"/>
          <w:b w:val="0"/>
          <w:i w:val="0"/>
          <w:color w:val="1A1A1A"/>
        </w:rPr>
        <w:t>Demand Generation, Lifecycle &amp; Email Marketing, Paid Media (Google Ads, Meta Ads), Landing Pages &amp; CRO, Campaign Measurement, A/B Testing</w:t>
      </w:r>
    </w:p>
    <w:p>
      <w:pPr>
        <w:spacing w:after="30"/>
      </w:pPr>
      <w:r>
        <w:rPr>
          <w:rFonts w:ascii="Calibri" w:hAnsi="Calibri"/>
          <w:b/>
          <w:i w:val="0"/>
          <w:color w:val="1A1A1A"/>
        </w:rPr>
        <w:t xml:space="preserve">Analytics &amp; Reporting:  </w:t>
      </w:r>
      <w:r>
        <w:rPr>
          <w:rFonts w:ascii="Calibri" w:hAnsi="Calibri"/>
          <w:b w:val="0"/>
          <w:i w:val="0"/>
          <w:color w:val="1A1A1A"/>
        </w:rPr>
        <w:t>GA4, Performance Dashboards, Engagement &amp; Conversion Analysis, ROI / CAC / LTV Reporting, Campaign Attribution, Executive Updates</w:t>
      </w:r>
    </w:p>
    <w:p>
      <w:pPr>
        <w:spacing w:after="30"/>
      </w:pPr>
      <w:r>
        <w:rPr>
          <w:rFonts w:ascii="Calibri" w:hAnsi="Calibri"/>
          <w:b/>
          <w:i w:val="0"/>
          <w:color w:val="1A1A1A"/>
        </w:rPr>
        <w:t xml:space="preserve">Systems &amp; AI:  </w:t>
      </w:r>
      <w:r>
        <w:rPr>
          <w:rFonts w:ascii="Calibri" w:hAnsi="Calibri"/>
          <w:b w:val="0"/>
          <w:i w:val="0"/>
          <w:color w:val="1A1A1A"/>
        </w:rPr>
        <w:t>HubSpot, Salesforce, GoHighLevel, Marketing Automation Architecture, Agentic AI Workflows, Prompt Design, Semrush, Ahrefs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