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Paid Media &amp; Performance Strategist | Google Ads, Lead Quality, Client-Facing Reporting</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Marketing strategist with 15+ years across agency, MarTech, and SaaS, leading paid media and full-funnel performance strategy for portfolios of client accounts. Owns Google Ads accounts end to end at Solenzo and led integrated paid, inbound, and content strategy at Level Agency, where campaign reporting tracked ROI, CAC, LTV, and conversion KPIs rather than platform vanity metrics. Built a decade of client-facing account work before that, so performance conversations land as recommendations clients act on. Currently building AI-driven marketing systems, with a working view of how platform automation is reshaping campaign structure and targeting.</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Optimize a client's Google Ads account end to end - cut spam and low-quality leads, improved click-through quality, then diagnosed on-site CRO as the remaining conversion bottleneck rather than declaring the account fixed on platform metrics.</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strategic relationship for a portfolio of service-based businesses, running discovery to surface client goals, market conditions, and performance opportunities.</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with actionable insights and strategic recommendations, backed by tracking across marketing, sales enablement, and operations.</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delivering insights to business-owner stakeholders.</w:t>
      </w:r>
    </w:p>
    <w:p>
      <w:pPr>
        <w:spacing w:after="30"/>
        <w:ind w:left="259" w:hanging="259"/>
      </w:pPr>
      <w:r>
        <w:rPr>
          <w:rFonts w:ascii="Calibri" w:hAnsi="Calibri"/>
          <w:b w:val="0"/>
          <w:i w:val="0"/>
          <w:color w:val="163A5F"/>
        </w:rPr>
        <w:t xml:space="preserve">•  </w:t>
      </w:r>
      <w:r>
        <w:rPr>
          <w:rFonts w:ascii="Calibri" w:hAnsi="Calibri"/>
          <w:b w:val="0"/>
          <w:i w:val="0"/>
          <w:color w:val="1A1A1A"/>
        </w:rPr>
        <w:t>Track acquisition and retention across multiple accounts in GA4 and CRM analytics, delivering reporting that drives experimentation and budget decisions.</w:t>
      </w:r>
    </w:p>
    <w:p>
      <w:pPr>
        <w:spacing w:after="30"/>
        <w:ind w:left="259" w:hanging="259"/>
      </w:pPr>
      <w:r>
        <w:rPr>
          <w:rFonts w:ascii="Calibri" w:hAnsi="Calibri"/>
          <w:b w:val="0"/>
          <w:i w:val="0"/>
          <w:color w:val="163A5F"/>
        </w:rPr>
        <w:t xml:space="preserve">•  </w:t>
      </w:r>
      <w:r>
        <w:rPr>
          <w:rFonts w:ascii="Calibri" w:hAnsi="Calibri"/>
          <w:b w:val="0"/>
          <w:i w:val="0"/>
          <w:color w:val="1A1A1A"/>
        </w:rPr>
        <w:t>Architect AI-driven marketing systems - 20+ GoHighLevel workflows spanning lead capture, routing, qualification, appointment booking, no-show recovery, and reactivation - so paid media leads convert past the click.</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keyword gap analyses, and competitor research, implementing fixes directly inside client CMS platforms.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integrated digital marketing strategy across paid media, inbound, and content for client accounts, acting as strategic lead and directing execution across internal departments.</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delivering optimization recommendations and quarterly business reviews directly to clients.</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campaign targeting and content direction.</w:t>
      </w:r>
    </w:p>
    <w:p>
      <w:pPr>
        <w:spacing w:after="30"/>
        <w:ind w:left="259" w:hanging="259"/>
      </w:pPr>
      <w:r>
        <w:rPr>
          <w:rFonts w:ascii="Calibri" w:hAnsi="Calibri"/>
          <w:b w:val="0"/>
          <w:i w:val="0"/>
          <w:color w:val="163A5F"/>
        </w:rPr>
        <w:t xml:space="preserve">•  </w:t>
      </w:r>
      <w:r>
        <w:rPr>
          <w:rFonts w:ascii="Calibri" w:hAnsi="Calibri"/>
          <w:b w:val="0"/>
          <w:i w:val="0"/>
          <w:color w:val="1A1A1A"/>
        </w:rPr>
        <w:t>Translated performance data into strategic recommendations for multi-stakeholder accounts spanning marketing and technology channels.</w:t>
      </w:r>
    </w:p>
    <w:p>
      <w:pPr>
        <w:spacing w:after="30"/>
        <w:ind w:left="259" w:hanging="259"/>
      </w:pPr>
      <w:r>
        <w:rPr>
          <w:rFonts w:ascii="Calibri" w:hAnsi="Calibri"/>
          <w:b w:val="0"/>
          <w:i w:val="0"/>
          <w:color w:val="163A5F"/>
        </w:rPr>
        <w:t xml:space="preserve">•  </w:t>
      </w:r>
      <w:r>
        <w:rPr>
          <w:rFonts w:ascii="Calibri" w:hAnsi="Calibri"/>
          <w:b w:val="0"/>
          <w:i w:val="0"/>
          <w:color w:val="1A1A1A"/>
        </w:rPr>
        <w:t>Produced conversion-focused campaign assets - landing pages, email sequences, and copy - improving lead generation and pipeline.</w:t>
      </w:r>
    </w:p>
    <w:p>
      <w:pPr>
        <w:spacing w:after="30"/>
        <w:ind w:left="259" w:hanging="259"/>
      </w:pPr>
      <w:r>
        <w:rPr>
          <w:rFonts w:ascii="Calibri" w:hAnsi="Calibri"/>
          <w:b w:val="0"/>
          <w:i w:val="0"/>
          <w:color w:val="163A5F"/>
        </w:rPr>
        <w:t xml:space="preserve">•  </w:t>
      </w:r>
      <w:r>
        <w:rPr>
          <w:rFonts w:ascii="Calibri" w:hAnsi="Calibri"/>
          <w:b w:val="0"/>
          <w:i w:val="0"/>
          <w:color w:val="1A1A1A"/>
        </w:rPr>
        <w:t>Held delivery quality consistent across accounts, resolving client feedback promptly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spanning health, home services, and retail verticals (deal sizes ~$10K-$45K),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customer health metrics, and automated workflows, equipping them to communicate product value.</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customer feedback informing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at a performance marketing agency and translated results into optimization recommendations across paid media and creative.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covering campaign execution, performance reporting, and cross-team communication.</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 between client-facing and execution teams.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improve client traffic and conversion.</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Managed and developed a team of onboarding specialists, overseeing scope and delivery for a high-value client portfolio.</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of 8 to 15 reps for all but the final months of tenure, sustained while quota roughly doubled.</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CRM and project-management systems to agencies and professional-services firms, advising C-suite stakeholders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that ranked which systems to change and in what order, handing them to delivery teams to execute.</w:t>
      </w:r>
    </w:p>
    <w:p>
      <w:pPr>
        <w:tabs>
          <w:tab w:pos="10512" w:val="right"/>
        </w:tabs>
        <w:spacing w:before="80" w:after="20"/>
      </w:pPr>
      <w:r>
        <w:rPr>
          <w:rFonts w:ascii="Calibri" w:hAnsi="Calibri"/>
          <w:b/>
          <w:i w:val="0"/>
          <w:color w:val="1A1A1A"/>
          <w:sz w:val="21"/>
        </w:rPr>
        <w:t>Business Development Representative</w:t>
      </w:r>
      <w:r>
        <w:rPr>
          <w:rFonts w:ascii="Calibri" w:hAnsi="Calibri"/>
          <w:b w:val="0"/>
          <w:i w:val="0"/>
          <w:color w:val="163A5F"/>
          <w:sz w:val="21"/>
        </w:rPr>
        <w:t xml:space="preserve">  |  Senior Directory</w:t>
      </w:r>
      <w:r>
        <w:rPr>
          <w:rFonts w:ascii="Calibri" w:hAnsi="Calibri"/>
          <w:b w:val="0"/>
          <w:i w:val="0"/>
          <w:color w:val="555555"/>
          <w:sz w:val="18"/>
        </w:rPr>
        <w:tab/>
        <w:t>2012 - 2016</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Prospected and qualified leads, booking appointments for regional sales representatives and maintaining a steady flow of sales-ready meetings.</w:t>
      </w:r>
    </w:p>
    <w:p>
      <w:pPr>
        <w:spacing w:after="30"/>
        <w:ind w:left="259" w:hanging="259"/>
      </w:pPr>
      <w:r>
        <w:rPr>
          <w:rFonts w:ascii="Calibri" w:hAnsi="Calibri"/>
          <w:b w:val="0"/>
          <w:i w:val="0"/>
          <w:color w:val="163A5F"/>
        </w:rPr>
        <w:t xml:space="preserve">•  </w:t>
      </w:r>
      <w:r>
        <w:rPr>
          <w:rFonts w:ascii="Calibri" w:hAnsi="Calibri"/>
          <w:b w:val="0"/>
          <w:i w:val="0"/>
          <w:color w:val="1A1A1A"/>
        </w:rPr>
        <w:t>Built the outreach, qualification, and lead-quality fundamentals that carried into later agency and SaaS roles.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Paid Media &amp; Campaign Strategy:  </w:t>
      </w:r>
      <w:r>
        <w:rPr>
          <w:rFonts w:ascii="Calibri" w:hAnsi="Calibri"/>
          <w:b w:val="0"/>
          <w:i w:val="0"/>
          <w:color w:val="1A1A1A"/>
        </w:rPr>
        <w:t>Google Ads (Search), Keyword &amp; Search-Term Analysis, Campaign Structure &amp; Targeting, Negative Keyword Strategy, Lead Quality Analysis, Landing Pages &amp; CRO, A/B Testing</w:t>
      </w:r>
    </w:p>
    <w:p>
      <w:pPr>
        <w:spacing w:after="30"/>
      </w:pPr>
      <w:r>
        <w:rPr>
          <w:rFonts w:ascii="Calibri" w:hAnsi="Calibri"/>
          <w:b/>
          <w:i w:val="0"/>
          <w:color w:val="1A1A1A"/>
        </w:rPr>
        <w:t xml:space="preserve">Analytics &amp; Reporting:  </w:t>
      </w:r>
      <w:r>
        <w:rPr>
          <w:rFonts w:ascii="Calibri" w:hAnsi="Calibri"/>
          <w:b w:val="0"/>
          <w:i w:val="0"/>
          <w:color w:val="1A1A1A"/>
        </w:rPr>
        <w:t>GA4, Google Search Console, Conversion Tracking, Campaign Attribution, CPL &amp; Conversion Performance, ROI / CAC / LTV Reporting, Performance Dashboards, QBRs</w:t>
      </w:r>
    </w:p>
    <w:p>
      <w:pPr>
        <w:spacing w:after="30"/>
      </w:pPr>
      <w:r>
        <w:rPr>
          <w:rFonts w:ascii="Calibri" w:hAnsi="Calibri"/>
          <w:b/>
          <w:i w:val="0"/>
          <w:color w:val="1A1A1A"/>
        </w:rPr>
        <w:t xml:space="preserve">Client Strategy &amp; Communication:  </w:t>
      </w:r>
      <w:r>
        <w:rPr>
          <w:rFonts w:ascii="Calibri" w:hAnsi="Calibri"/>
          <w:b w:val="0"/>
          <w:i w:val="0"/>
          <w:color w:val="1A1A1A"/>
        </w:rPr>
        <w:t>Client-Facing Performance Reviews, Strategic Recommendations, Multi-Account Portfolio Management, Cross-Functional Partnership, Stakeholder Communication</w:t>
      </w:r>
    </w:p>
    <w:p>
      <w:pPr>
        <w:spacing w:after="30"/>
      </w:pPr>
      <w:r>
        <w:rPr>
          <w:rFonts w:ascii="Calibri" w:hAnsi="Calibri"/>
          <w:b/>
          <w:i w:val="0"/>
          <w:color w:val="1A1A1A"/>
        </w:rPr>
        <w:t xml:space="preserve">Marketing Systems &amp; AI:  </w:t>
      </w:r>
      <w:r>
        <w:rPr>
          <w:rFonts w:ascii="Calibri" w:hAnsi="Calibri"/>
          <w:b w:val="0"/>
          <w:i w:val="0"/>
          <w:color w:val="1A1A1A"/>
        </w:rPr>
        <w:t>GoHighLevel, HubSpot, Salesforce, Lifecycle &amp; Nurture Automation, Lead Routing, Agentic AI Workflows, Prompt Design, Semrush, Ahrefs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