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9, 2026</w:t>
      </w:r>
    </w:p>
    <w:p>
      <w:pPr>
        <w:spacing w:after="160"/>
      </w:pPr>
      <w:r>
        <w:rPr>
          <w:rFonts w:ascii="Calibri" w:hAnsi="Calibri"/>
          <w:b w:val="0"/>
          <w:color w:val="1A1A1A"/>
        </w:rPr>
        <w:t>Re: Demand Marketing Specialist (Channel-Focused)</w:t>
      </w:r>
    </w:p>
    <w:p>
      <w:pPr>
        <w:spacing w:after="160"/>
      </w:pPr>
      <w:r>
        <w:rPr>
          <w:rFonts w:ascii="Calibri" w:hAnsi="Calibri"/>
          <w:b w:val="0"/>
          <w:color w:val="1A1A1A"/>
        </w:rPr>
        <w:t>Dear Hiring Team,</w:t>
      </w:r>
    </w:p>
    <w:p>
      <w:pPr>
        <w:spacing w:after="160"/>
      </w:pPr>
      <w:r>
        <w:rPr>
          <w:rFonts w:ascii="Calibri" w:hAnsi="Calibri"/>
          <w:b w:val="0"/>
          <w:color w:val="1A1A1A"/>
        </w:rPr>
        <w:t>This role asks for someone who owns a demand-gen channel end to end and can prove it moved pipeline, not just activity. At Solenzo I've run that exact motion: outbound and email, built and owned personally, from targeting to the booked meeting.</w:t>
      </w:r>
    </w:p>
    <w:p>
      <w:pPr>
        <w:spacing w:after="160"/>
      </w:pPr>
      <w:r>
        <w:rPr>
          <w:rFonts w:ascii="Calibri" w:hAnsi="Calibri"/>
          <w:b w:val="0"/>
          <w:color w:val="1A1A1A"/>
        </w:rPr>
        <w:t>I built the outbound and email channel in GoHighLevel from the ground up, segmented cold-email campaigns, an automated audit workflow that enrolled 180+ businesses, and appointment booking with confirmation, reminders, and no-show recovery, 20+ workflows total. At Level Agency I built the ROI, CAC, and LTV reporting that turned channel activity into a number sales could act on. Earlier, at Fetch &amp; Funnel and Accelo, I sat on the other side of that handoff, closing deals sourced through exactly this kind of pipeline, so I know what a qualified meeting needs to look like before an AE will trust it.</w:t>
      </w:r>
    </w:p>
    <w:p>
      <w:pPr>
        <w:spacing w:after="160"/>
      </w:pPr>
      <w:r>
        <w:rPr>
          <w:rFonts w:ascii="Calibri" w:hAnsi="Calibri"/>
          <w:b w:val="0"/>
          <w:color w:val="1A1A1A"/>
        </w:rPr>
        <w:t>Most of my channel-ownership work has been as the person who also closes the deal, not handing qualified meetings to a separate SDR or AE team, so partnering as a co-equal with a dedicated sales org is the one piece of this role I'd be building fresh rather than repeating. Everything else, channel ownership, funnel optimization, reporting discipline, is proven.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