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Implementation Specialist | SaaS Onboarding, AI Product Adoption &amp; Customer Configuration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onboarding and implementation professional with 15+ years taking SaaS customers from kickoff to live, including launching 25+ clients per month at Wix while holding 120% of sales and 110% of implementation targets. Builds and ships AI-driven systems personally, architecting LLM-powered agent workflows and personalized outreach engines at Solenzo, the kind of product Distill builds for its own customers. Comfortable defining process from scratch in early-stage environments, having driven a new business vertical from proof of concept to a profitable line at Wix and founded and run Solenzo independently since 2024.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configuration requirements.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acting as the bridge between business intent and reliable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marketing-automation system, 20+ workflows spanning lead capture/tagging/routing, lead qualification, appointment booking, onboarding nurture, and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outreach engines plus an automated prospect "audit" workflow that enrolled 180+ contacts, scoring each business's digital footprint to trigger personalized, research-driven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AI agent outputs and continuously optimize conversion rates.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(~94%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Wix vertical that went from proof of concept to a profitable business line, contributing to hiring, onboarding, and training of new hires and developing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years, a team of 20, later a team of 8,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 &amp; Onboarding:  </w:t>
      </w:r>
      <w:r>
        <w:rPr>
          <w:rFonts w:ascii="Calibri" w:hAnsi="Calibri"/>
          <w:b w:val="0"/>
          <w:i w:val="0"/>
          <w:color w:val="1A1A1A"/>
        </w:rPr>
        <w:t>Kickoff-to-Launch Onboarding, Customer Workflow Configuration, Playbook &amp; Template Development, Time-to-Value Acceleration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Product Fluency:  </w:t>
      </w:r>
      <w:r>
        <w:rPr>
          <w:rFonts w:ascii="Calibri" w:hAnsi="Calibri"/>
          <w:b w:val="0"/>
          <w:i w:val="0"/>
          <w:color w:val="1A1A1A"/>
        </w:rPr>
        <w:t>Agentic AI / LLM Workflows, AI Tool Adoption &amp; Configuration, Personalized Outreach Engine Design,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&amp; Cross-Functional Coordination:  </w:t>
      </w:r>
      <w:r>
        <w:rPr>
          <w:rFonts w:ascii="Calibri" w:hAnsi="Calibri"/>
          <w:b w:val="0"/>
          <w:i w:val="0"/>
          <w:color w:val="1A1A1A"/>
        </w:rPr>
        <w:t>Customer Discovery, Cross-Functional Partnership (Product, Engineering), Training &amp; Adoption Enablement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Systems:  </w:t>
      </w:r>
      <w:r>
        <w:rPr>
          <w:rFonts w:ascii="Calibri" w:hAnsi="Calibri"/>
          <w:b w:val="0"/>
          <w:i w:val="0"/>
          <w:color w:val="1A1A1A"/>
        </w:rPr>
        <w:t>Salesforce, HubSpot, GoHighLevel, Accelo (CRM/PSA), Data Hygiene &amp; Segmentation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