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63A5F"/>
          <w:sz w:val="36"/>
        </w:rPr>
        <w:t>Joshua Rotenberg</w:t>
      </w:r>
    </w:p>
    <w:p>
      <w:pPr>
        <w:spacing w:after="200"/>
        <w:jc w:val="center"/>
      </w:pPr>
      <w:r>
        <w:rPr>
          <w:rFonts w:ascii="Calibri" w:hAnsi="Calibri"/>
          <w:b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after="120"/>
      </w:pPr>
      <w:r>
        <w:rPr>
          <w:rFonts w:ascii="Calibri" w:hAnsi="Calibri"/>
          <w:b w:val="0"/>
          <w:color w:val="1A1A1A"/>
        </w:rPr>
        <w:t>September 16, 2026</w:t>
      </w:r>
    </w:p>
    <w:p>
      <w:pPr>
        <w:spacing w:after="20"/>
      </w:pPr>
      <w:r>
        <w:rPr>
          <w:rFonts w:ascii="Calibri" w:hAnsi="Calibri"/>
          <w:b/>
          <w:color w:val="1A1A1A"/>
        </w:rPr>
        <w:t>EULER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Re: Onboarding Manager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Hiring Team,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At Solenzo, I own onboarding end to end for every client, from the signed agreement through their first working deliverable. I sequence Google Business Profile setup first, before any automation, because it is the one piece of work a client can verify himself, a live, complete listing, without needing me to explain anything. That sequencing is the standard opening move for every engagement today, not a one-off choice.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At Wix, I built the onboarding process for a brand-new vertical from a blank page. It was still proof of concept, so I started by defining the CRM fields the team needed for onboarding and outbound sales, standardizing data capture before we scaled headcount, then used that structure to build new-hire training and sales training for tenured account executives. The vertical went from proof of concept to a profitable line, run consistently instead of ad hoc.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At Birdeye, regular utilization reviews across the 15 to 20 reseller partners I managed, not a complaint, caught it: several partners had been onboarded and trained, but adoption had quietly stalled after launch. I went back to them directly, found where the process had broken down, and rebuilt the training and communication cadence that had let them go quiet. That habit is a real part of why I retained all but one partner (about 94%) over my tenure.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At Accelo, I built the sequenced implementation plan for an incoming client before the deal closed, ranking which systems needed to change and in what order. That ranked plan became the handoff I gave the implementation team, so they inherited a decision already made about where the risk sat instead of re-interviewing the client from scratch. Implementation started executing on day one instead of losing a week to rediscovery.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I'd welcome a conversation about how these fit EULER's onboarding function. I'm available at 303-726-5037 or jrotnbrg@gmail.com.</w:t>
      </w:r>
    </w:p>
    <w:p>
      <w:pPr>
        <w:spacing w:after="280"/>
      </w:pPr>
      <w:r>
        <w:rPr>
          <w:rFonts w:ascii="Calibri" w:hAnsi="Calibri"/>
          <w:b w:val="0"/>
          <w:color w:val="1A1A1A"/>
        </w:rPr>
        <w:t>Sincerely,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Joshua Rotenberg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Calibri" w:hAnsi="Calibri" w:cs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