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Automation Manager | Lifecycle Journeys &amp; CRM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and CRM architect with 15+ years in marketing and revenue operations, including 5+ years building CRM and marketing-automation systems - segmentation, triggers, personalization, and multi-step journeys - primarily in GoHighLevel, with hands-on HubSpot and Salesforce experience across client-facing roles. Brings a QA mindset and cross-functional fluency (Sales, Product, RevOps) built over a decade in B2B SaaS account and partnership roles before moving into hands-on automation building.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 - contact segmentation, lifecycle stages, triggers,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marketing-automation system - 20+ workflows spanning lead capture/tagging/routing, lead qualification, triggered appointment booking with confirmation and reminders, no-show recovery, post-sale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segmented, triggered outreach campaigns (website-visibility, missed-calls, and low-reviews) plus an automated audit workflow that enrolled 180+ contacts based on scored engagement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automation outputs and continuously optimize conversion rates, catching and correcting broken logic before it reaches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campaign and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business-owner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automation logic - acting as the bridge between business intent and reliable system behavior.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automated, rule-based logic that scores engagement signals and triggers the right next step without manual intervention.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 using Salesforce,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on Salesforce-backed workflows,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Automation:  </w:t>
      </w:r>
      <w:r>
        <w:rPr>
          <w:rFonts w:ascii="Calibri" w:hAnsi="Calibri"/>
          <w:b w:val="0"/>
          <w:i w:val="0"/>
          <w:color w:val="1A1A1A"/>
        </w:rPr>
        <w:t>Segmentation &amp; Triggered Journeys, Lifecycle Campaign Design, Personalization, QA &amp; Delivery Accuracy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Platforms:  </w:t>
      </w:r>
      <w:r>
        <w:rPr>
          <w:rFonts w:ascii="Calibri" w:hAnsi="Calibri"/>
          <w:b w:val="0"/>
          <w:i w:val="0"/>
          <w:color w:val="1A1A1A"/>
        </w:rPr>
        <w:t>GoHighLevel, HubSpot, Salesforce, CRM-MAP Integration Concepts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Sales &amp; RevOps Alignment, Product Feedback Loops, Stakeholder Reporting,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Optimization:  </w:t>
      </w:r>
      <w:r>
        <w:rPr>
          <w:rFonts w:ascii="Calibri" w:hAnsi="Calibri"/>
          <w:b w:val="0"/>
          <w:i w:val="0"/>
          <w:color w:val="1A1A1A"/>
        </w:rPr>
        <w:t>Campaign ROI Tracking, Funnel &amp; Pipeline Reporting, Experimentation, Data Hygiene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