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August 16, 2026</w:t>
      </w:r>
    </w:p>
    <w:p>
      <w:pPr>
        <w:spacing w:after="20"/>
      </w:pPr>
      <w:r>
        <w:rPr>
          <w:rFonts w:ascii="Calibri" w:hAnsi="Calibri"/>
          <w:b/>
          <w:color w:val="1A1A1A"/>
        </w:rPr>
        <w:t>Marketing For Therapists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Google Ads Specialist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applying for the Google Ads Specialist role. Nearly all of my agency and account work has been with small service-based businesses rather than ecommerce, and I've spent real time inside the compliance layer that makes a therapy account different from a typical local business: no remarketing on personal health signals, no testimonials in the ad copy, and a tighter negative-keyword list around crisis-adjacent search terms. That's the kind of constraint I like designing inside rather than working around.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Solenzo, I own Google Ads accounts for B2B service clients end to end. On one account I rebuilt targeting and negatives to cut spam and low-quality leads and improve click quality, then traced the remaining conversion gap to the website itself instead of calling the account a win on click metrics alone. At Level Agency, I built the reporting frameworks, tracking ROI, CAC, LTV, and conversion KPIs, that ran our quarterly business reviews, and handled the keyword and search-term research that shaped where budget went.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Fifteen-plus years of client account work has taught me the same thing your posting describes: tell the client what's actually working, not what makes the report look better. That's the standard I hold myself to, and it's why the transparency and ethics you lead with read as a genuine fit, not just a line in a job post.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I'd welcome the conversation.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