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17, 2026</w:t>
      </w:r>
    </w:p>
    <w:p>
      <w:pPr>
        <w:spacing w:after="20"/>
      </w:pPr>
      <w:r>
        <w:rPr>
          <w:rFonts w:ascii="Calibri" w:hAnsi="Calibri"/>
          <w:b/>
          <w:color w:val="1A1A1A"/>
        </w:rPr>
        <w:t>NetReputation.com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Account Executive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You noted this isn't a SaaS sales role, and that's exactly the background I bring. At Birdeye, I sold and onboarded partners onto a proprietary reputation-management and local-listings platform, not software features but a service outcome for the partner's own end customers, and retained roughly 94% of a 15-20 partner book. At Solenzo, the company I founded, I run full-cycle sales for my own SEO and marketing-automation service line: discovery, a scoped proposal, and a closed retainer, no software trial involved.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That pattern holds across my agency work too. At Fetch &amp; Funnel I closed $130K+ in new-client bookings selling performance marketing services. At Level Agency I sold integrated digital marketing engagements, inbound, paid media, content, SEO, and managed the ad-spend and fee conversations that came with them. Across all of it, I've presented digital strategy to business owners and C-suite stakeholders and negotiated the SOW, not just the pitch.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hands-on time in BrightEdge or Meltwater specifically, Ahrefs and Semrush are my working tools, and I want to say that plainly rather than imply otherwise. What I do bring is a track record of selling reputation and digital marketing services specifically, at the retainer-negotiation stage, not adjacent SaaS. I'd welcome a conversation about the territory.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