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Retention, Expansion &amp; NRR for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SaaS, owning the post-sale journey from onboarding and adoption through retention and expansion. Retained ~94% of a 15-20 partner book at Birdeye, held 120% of sales targets at Wix, and ranked top three in sales at Accelo while quota roughly doubled. Consultative with operations leaders and C-suite buyers alike, and hands-on building AI agents and workflow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B2B service clients, running discovery to surface business goals and mapping the platform setup to those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retainer scope by identifying and recommending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 agents and automated workflows in GoHighLevel, Zapier, Make, and n8n that replace manual operational steps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recommendations, tracking every interaction in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translating performance data into strategic recommendations delivered in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in Salesforce to identify adoption gaps and intervene before they became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in total bookings) and led the sales team alongside an individual book.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driving a 25% improvement in conversion rates across supported e-commerce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(20, later 8), and drove process improvements for a new vertical that went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doubled, averaging ~$17,750/month in implementation and services bookings (~$213K annualized)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 at agencies and professional-services firms, guiding onboarding and operational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resolved it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Full Customer Lifecycle Ownership, Retention, Churn Mitigation &amp; NRR, Expansion &amp; Share-of-Wallet Growth, Customer Health &amp; Usage Analysis, QBRs &amp; Executive Relationships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AI:  </w:t>
      </w:r>
      <w:r>
        <w:rPr>
          <w:rFonts w:ascii="Calibri" w:hAnsi="Calibri"/>
          <w:b w:val="0"/>
          <w:i w:val="0"/>
          <w:color w:val="1A1A1A"/>
        </w:rPr>
        <w:t>Salesforce, HubSpot, GoHighLevel, AI Agents &amp; Workflow Automation (Zapier, Make, n8n), Excel, Power BI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Customer Feedback to Product &amp; Operations, Process Optimization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