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August 23, 2026</w:t>
      </w:r>
    </w:p>
    <w:p>
      <w:pPr>
        <w:spacing w:after="20"/>
      </w:pPr>
      <w:r>
        <w:rPr>
          <w:rFonts w:ascii="Calibri" w:hAnsi="Calibri"/>
          <w:b/>
          <w:color w:val="1A1A1A"/>
        </w:rPr>
        <w:t>Revenue Enterprises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Client Account Manager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Dear 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I'm applying for the Client Account Manager role because being the trusted point of connection between a client and every internal team that touches their success - Operations, IT, Finance, Product - is the work I've built my whole career around.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At Wix, I managed a high-value account portfolio as the client's primary strategic contact, coordinating with internal teams to deliver on commitments and driving measurable results (a 30% increase in traffic and 25% improvement in conversion across my e-commerce accounts). At Birdeye, I managed 15-20 reseller partners at roughly 94% retention, serving as the structured feedback channel between partners and Product/Engineering while tracking every commitment to resolution. Across Level Agency and Accelo, I built the executive-ready reporting and QBR cadence that keeps leadership informed on account health without surprises. Your values - Be Your Word, Resolve It Now, Be In Communication - describe how I've actually worked, not just how I'd like to.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I'd welcome the opportunity to bring that track record to your client portfolio. Thank you for considering my application.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Sincerely,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