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Strategy &amp; Growth Leader | Founder-Level Brand, Demand Generation &amp; Business Development Ownership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leader who has personally owned the full function, strategy, brand, demand generation, budget, and execution, for his own company since 2024, after 15+ years in growth and account roles building the skill set that supports it. Not a corporate CMO title, but the kind of ownership a pre-seed company's first marketing hire actually needs: someone who builds the function from nothing rather than manages an existing department. Combines hands-on demand generation and data-driven decision-making with genuine differentiation in AI-driven marketing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specific, ethically aligned direct-response copy, outreach sequences, and landing pages that drive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Strategy &amp; Leadership:  </w:t>
      </w:r>
      <w:r>
        <w:rPr>
          <w:rFonts w:ascii="Calibri" w:hAnsi="Calibri"/>
          <w:b w:val="0"/>
          <w:i w:val="0"/>
          <w:color w:val="1A1A1A"/>
        </w:rPr>
        <w:t>Brand Strategy, Marketing Budget Ownership, Demand Generation Strategy, Team Leadership &amp;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Business Development &amp; Growth:  </w:t>
      </w:r>
      <w:r>
        <w:rPr>
          <w:rFonts w:ascii="Calibri" w:hAnsi="Calibri"/>
          <w:b w:val="0"/>
          <w:i w:val="0"/>
          <w:color w:val="1A1A1A"/>
        </w:rPr>
        <w:t>Revenue-Focused Marketing, Client &amp; Market Development, ROI-Driven Campaign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Market Analysis:  </w:t>
      </w:r>
      <w:r>
        <w:rPr>
          <w:rFonts w:ascii="Calibri" w:hAnsi="Calibri"/>
          <w:b w:val="0"/>
          <w:i w:val="0"/>
          <w:color w:val="1A1A1A"/>
        </w:rPr>
        <w:t>Performance Dashboards, Competitive &amp; Market Research, Campaign Analytics (ROI, CAC, LTV)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Differentiators:  </w:t>
      </w:r>
      <w:r>
        <w:rPr>
          <w:rFonts w:ascii="Calibri" w:hAnsi="Calibri"/>
          <w:b w:val="0"/>
          <w:i w:val="0"/>
          <w:color w:val="1A1A1A"/>
        </w:rPr>
        <w:t>AI-Driven Marketing Systems, Content &amp; Thought Leadership, Direct-Response Copywriting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