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&amp; Patient Support Specialist | Outbound Communication, Customer Service &amp; Data Accuracy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professional with a foundation in heavy-outbound-call environments (4 years as a business development representative, building a steady flow of qualified conversations by phone) and 15+ years of customer service and account support since. Includes B2B channel sales to agencies focused on healthcare clients at Birdeye, real exposure to the healthcare vertical, from the marketing-technology side rather than direct clinical or payer-facing work. Comfortable with high-volume outbound calling, careful data entry across CRM systems, and maintaining accuracy under a documentation-heavy workload.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and process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 clients, running discovery and onboarding to surface client goals, objectives, and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verticals, including channel sales to agencies focused on healthcare clients),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high-volume prospecting, lead qualification, and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by phone as a Business Development Representative, booking appointments for regional sales representatives and maintaining a steady flow of sales-ready meetings across a 4-year, heavy-outbound-call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that carried into later account management and customer support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Outbound &amp; Customer Communication:  </w:t>
      </w:r>
      <w:r>
        <w:rPr>
          <w:rFonts w:ascii="Calibri" w:hAnsi="Calibri"/>
          <w:b w:val="0"/>
          <w:i w:val="0"/>
          <w:color w:val="1A1A1A"/>
        </w:rPr>
        <w:t>Heavy-Volume Outbound Calling, Inbound Call Handling, Customer Service &amp; Etiquette, Client Relationship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Documentation Accuracy:  </w:t>
      </w:r>
      <w:r>
        <w:rPr>
          <w:rFonts w:ascii="Calibri" w:hAnsi="Calibri"/>
          <w:b w:val="0"/>
          <w:i w:val="0"/>
          <w:color w:val="1A1A1A"/>
        </w:rPr>
        <w:t>CRM Data Entry &amp; Hygiene, Process Documentation, Multi-System Data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Healthcare-Adjacent Experience:  </w:t>
      </w:r>
      <w:r>
        <w:rPr>
          <w:rFonts w:ascii="Calibri" w:hAnsi="Calibri"/>
          <w:b w:val="0"/>
          <w:i w:val="0"/>
          <w:color w:val="1A1A1A"/>
        </w:rPr>
        <w:t>B2B Channel Sales to Healthcare-Focused Agencies, Cross-Industry Client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Remote Collaboration:  </w:t>
      </w:r>
      <w:r>
        <w:rPr>
          <w:rFonts w:ascii="Calibri" w:hAnsi="Calibri"/>
          <w:b w:val="0"/>
          <w:i w:val="0"/>
          <w:color w:val="1A1A1A"/>
        </w:rPr>
        <w:t>Fully Remote Work History, Cross-Team Coordination, Written &amp; Verbal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