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Portfolio Retention, Account Health &amp; CRM-Driven Growth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owning mid-market and enterprise client portfolios across SaaS and agency environments. Builds the same structured, repeatable systems this role runs on, health tracking, account planning, and insight-driven strategy, evidenced by ~94% partner retention, dashboards tracking client health and ROI, and a direct feedback channel into Product. Deep, hands-on fluency across HubSpot, Salesforce, and GoHighLevel for managing the full client lifecycle.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clients, running discovery and onboarding to surface goals, objectives,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client health, funnel progression, ROI, and pipeline velocity, delivering insights and strategic recommendations to executive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insights, backed by rigorous tracking across the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account records accurate and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initiatives.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measurable gains in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Portfolio Retention, Account Health Assessment, Growth &amp; Retention Planning, QBRs &amp; Business Reviews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Client Lifecycle:  </w:t>
      </w:r>
      <w:r>
        <w:rPr>
          <w:rFonts w:ascii="Calibri" w:hAnsi="Calibri"/>
          <w:b w:val="0"/>
          <w:i w:val="0"/>
          <w:color w:val="1A1A1A"/>
        </w:rPr>
        <w:t>HubSpot, Salesforce, GoHighLevel, Data Accuracy &amp; Account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Product &amp; Solution Delivery:  </w:t>
      </w:r>
      <w:r>
        <w:rPr>
          <w:rFonts w:ascii="Calibri" w:hAnsi="Calibri"/>
          <w:b w:val="0"/>
          <w:i w:val="0"/>
          <w:color w:val="1A1A1A"/>
        </w:rPr>
        <w:t>Platform Configuration, Client Training &amp; Demos, Technical Onboarding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Strategic &amp; Cross-Functional:  </w:t>
      </w:r>
      <w:r>
        <w:rPr>
          <w:rFonts w:ascii="Calibri" w:hAnsi="Calibri"/>
          <w:b w:val="0"/>
          <w:i w:val="0"/>
          <w:color w:val="1A1A1A"/>
        </w:rPr>
        <w:t>Executive Stakeholder Communication, Voice-of-Customer to Product, Renewal &amp; Expansion Strategy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